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0CE5" w14:textId="2C00AE01" w:rsidR="00C0299C" w:rsidRPr="003A4512" w:rsidRDefault="00033625" w:rsidP="00620D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A4512">
        <w:rPr>
          <w:rFonts w:ascii="Times New Roman" w:hAnsi="Times New Roman" w:cs="Times New Roman"/>
          <w:b/>
          <w:bCs/>
          <w:sz w:val="22"/>
          <w:szCs w:val="22"/>
        </w:rPr>
        <w:t>Evidence-</w:t>
      </w:r>
      <w:r w:rsidR="003A4512">
        <w:rPr>
          <w:rFonts w:ascii="Times New Roman" w:hAnsi="Times New Roman" w:cs="Times New Roman"/>
          <w:b/>
          <w:bCs/>
          <w:sz w:val="22"/>
          <w:szCs w:val="22"/>
        </w:rPr>
        <w:t>supported</w:t>
      </w:r>
      <w:r w:rsidRPr="003A451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85DFE" w:rsidRPr="003A4512">
        <w:rPr>
          <w:rFonts w:ascii="Times New Roman" w:hAnsi="Times New Roman" w:cs="Times New Roman"/>
          <w:b/>
          <w:bCs/>
          <w:sz w:val="22"/>
          <w:szCs w:val="22"/>
        </w:rPr>
        <w:t xml:space="preserve">Extraction of Vaccine </w:t>
      </w:r>
      <w:r w:rsidRPr="003A4512">
        <w:rPr>
          <w:rFonts w:ascii="Times New Roman" w:hAnsi="Times New Roman" w:cs="Times New Roman"/>
          <w:b/>
          <w:bCs/>
          <w:sz w:val="22"/>
          <w:szCs w:val="22"/>
        </w:rPr>
        <w:t>Adjuvant</w:t>
      </w:r>
      <w:r w:rsidR="00B85DFE" w:rsidRPr="003A4512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3A4512">
        <w:rPr>
          <w:rFonts w:ascii="Times New Roman" w:hAnsi="Times New Roman" w:cs="Times New Roman"/>
          <w:b/>
          <w:bCs/>
          <w:sz w:val="22"/>
          <w:szCs w:val="22"/>
        </w:rPr>
        <w:t xml:space="preserve"> from Infectious Disease Literature </w:t>
      </w:r>
      <w:r w:rsidR="00D5744B" w:rsidRPr="003A4512"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="00B85DFE" w:rsidRPr="003A4512">
        <w:rPr>
          <w:rFonts w:ascii="Times New Roman" w:hAnsi="Times New Roman" w:cs="Times New Roman"/>
          <w:b/>
          <w:bCs/>
          <w:sz w:val="22"/>
          <w:szCs w:val="22"/>
        </w:rPr>
        <w:t xml:space="preserve">sing </w:t>
      </w:r>
      <w:r w:rsidRPr="003A4512">
        <w:rPr>
          <w:rFonts w:ascii="Times New Roman" w:hAnsi="Times New Roman" w:cs="Times New Roman"/>
          <w:b/>
          <w:bCs/>
          <w:sz w:val="22"/>
          <w:szCs w:val="22"/>
        </w:rPr>
        <w:t>Fine</w:t>
      </w:r>
      <w:r w:rsidR="003A4512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3A4512">
        <w:rPr>
          <w:rFonts w:ascii="Times New Roman" w:hAnsi="Times New Roman" w:cs="Times New Roman"/>
          <w:b/>
          <w:bCs/>
          <w:sz w:val="22"/>
          <w:szCs w:val="22"/>
        </w:rPr>
        <w:t xml:space="preserve">tuned </w:t>
      </w:r>
      <w:r w:rsidR="009C012E" w:rsidRPr="003A4512">
        <w:rPr>
          <w:rFonts w:ascii="Times New Roman" w:hAnsi="Times New Roman" w:cs="Times New Roman"/>
          <w:b/>
          <w:bCs/>
          <w:sz w:val="22"/>
          <w:szCs w:val="22"/>
        </w:rPr>
        <w:t xml:space="preserve">Large </w:t>
      </w:r>
      <w:r w:rsidRPr="003A4512">
        <w:rPr>
          <w:rFonts w:ascii="Times New Roman" w:hAnsi="Times New Roman" w:cs="Times New Roman"/>
          <w:b/>
          <w:bCs/>
          <w:sz w:val="22"/>
          <w:szCs w:val="22"/>
        </w:rPr>
        <w:t>Language Models</w:t>
      </w:r>
    </w:p>
    <w:p w14:paraId="0568ECF2" w14:textId="77777777" w:rsidR="00A52EE4" w:rsidRPr="003A4512" w:rsidRDefault="00A52EE4" w:rsidP="00C61FAE">
      <w:pPr>
        <w:spacing w:after="0" w:line="240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73A33700" w14:textId="0B9A5957" w:rsidR="00C46FE7" w:rsidRPr="003A4512" w:rsidRDefault="00816564" w:rsidP="0096351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3A4512">
        <w:rPr>
          <w:rFonts w:ascii="Times New Roman" w:hAnsi="Times New Roman" w:cs="Times New Roman"/>
          <w:sz w:val="22"/>
          <w:szCs w:val="22"/>
        </w:rPr>
        <w:t>Junguk Hur</w:t>
      </w:r>
      <w:r w:rsidRPr="003A4512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="00233641">
        <w:rPr>
          <w:rFonts w:ascii="Times New Roman" w:hAnsi="Times New Roman" w:cs="Times New Roman"/>
          <w:sz w:val="22"/>
          <w:szCs w:val="22"/>
          <w:vertAlign w:val="superscript"/>
        </w:rPr>
        <w:t>,*</w:t>
      </w:r>
      <w:r w:rsidRPr="00963518">
        <w:rPr>
          <w:rFonts w:ascii="Times New Roman" w:hAnsi="Times New Roman" w:cs="Times New Roman"/>
          <w:sz w:val="22"/>
          <w:szCs w:val="22"/>
        </w:rPr>
        <w:t xml:space="preserve">, </w:t>
      </w:r>
      <w:r w:rsidR="00C46FE7" w:rsidRPr="003A4512">
        <w:rPr>
          <w:rFonts w:ascii="Times New Roman" w:hAnsi="Times New Roman" w:cs="Times New Roman"/>
          <w:sz w:val="22"/>
          <w:szCs w:val="22"/>
        </w:rPr>
        <w:t>Hasin Rehana</w:t>
      </w:r>
      <w:r w:rsidR="00C46FE7" w:rsidRPr="003A4512">
        <w:rPr>
          <w:rFonts w:ascii="Times New Roman" w:hAnsi="Times New Roman" w:cs="Times New Roman"/>
          <w:sz w:val="22"/>
          <w:szCs w:val="22"/>
          <w:vertAlign w:val="superscript"/>
        </w:rPr>
        <w:t>1,2</w:t>
      </w:r>
      <w:r w:rsidR="00C46FE7" w:rsidRPr="003A4512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="00C46FE7" w:rsidRPr="003A4512">
        <w:rPr>
          <w:rFonts w:ascii="Times New Roman" w:hAnsi="Times New Roman" w:cs="Times New Roman"/>
          <w:sz w:val="22"/>
          <w:szCs w:val="22"/>
        </w:rPr>
        <w:t>Yongqun He</w:t>
      </w:r>
      <w:r w:rsidR="00C46FE7" w:rsidRPr="003A451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 w:rsidR="00C46FE7" w:rsidRPr="003A451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432C351" w14:textId="77777777" w:rsidR="00C46FE7" w:rsidRPr="003A4512" w:rsidRDefault="00C46FE7" w:rsidP="00C46FE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781E71F" w14:textId="77777777" w:rsidR="00C46FE7" w:rsidRPr="003A4512" w:rsidRDefault="00C46FE7" w:rsidP="00963518">
      <w:pPr>
        <w:spacing w:after="0" w:line="240" w:lineRule="auto"/>
        <w:ind w:left="288" w:hanging="288"/>
        <w:rPr>
          <w:rFonts w:ascii="Times New Roman" w:hAnsi="Times New Roman" w:cs="Times New Roman"/>
          <w:sz w:val="22"/>
          <w:szCs w:val="22"/>
        </w:rPr>
      </w:pPr>
      <w:r w:rsidRPr="003A4512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Pr="003A4512">
        <w:rPr>
          <w:rFonts w:ascii="Times New Roman" w:hAnsi="Times New Roman" w:cs="Times New Roman"/>
          <w:sz w:val="22"/>
          <w:szCs w:val="22"/>
        </w:rPr>
        <w:t xml:space="preserve">Department of Biomedical Sciences, University of North Dakota School of Medicine and Health Sciences, Grand Forks, North Dakota, 58202, USA </w:t>
      </w:r>
    </w:p>
    <w:p w14:paraId="2D8C6E4C" w14:textId="77777777" w:rsidR="00C46FE7" w:rsidRPr="003A4512" w:rsidRDefault="00C46FE7" w:rsidP="00963518">
      <w:pPr>
        <w:spacing w:after="0" w:line="240" w:lineRule="auto"/>
        <w:ind w:left="288" w:hanging="288"/>
        <w:rPr>
          <w:rFonts w:ascii="Times New Roman" w:hAnsi="Times New Roman" w:cs="Times New Roman"/>
          <w:sz w:val="22"/>
          <w:szCs w:val="22"/>
        </w:rPr>
      </w:pPr>
      <w:r w:rsidRPr="003A4512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3A4512">
        <w:rPr>
          <w:rFonts w:ascii="Times New Roman" w:hAnsi="Times New Roman" w:cs="Times New Roman"/>
          <w:sz w:val="22"/>
          <w:szCs w:val="22"/>
        </w:rPr>
        <w:t>School of Electrical Engineering &amp; Computer Science, University of North Dakota, Grand Forks, North Dakota, 58202, USA</w:t>
      </w:r>
    </w:p>
    <w:p w14:paraId="7F7031DF" w14:textId="77777777" w:rsidR="00C46FE7" w:rsidRPr="003A4512" w:rsidRDefault="00C46FE7" w:rsidP="00963518">
      <w:pPr>
        <w:spacing w:after="0" w:line="240" w:lineRule="auto"/>
        <w:ind w:left="288" w:hanging="288"/>
        <w:rPr>
          <w:rFonts w:ascii="Times New Roman" w:hAnsi="Times New Roman" w:cs="Times New Roman"/>
          <w:sz w:val="22"/>
          <w:szCs w:val="22"/>
        </w:rPr>
      </w:pPr>
      <w:r w:rsidRPr="003A451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 w:rsidRPr="003A4512">
        <w:rPr>
          <w:rFonts w:ascii="Times New Roman" w:hAnsi="Times New Roman" w:cs="Times New Roman"/>
          <w:sz w:val="22"/>
          <w:szCs w:val="22"/>
        </w:rPr>
        <w:t>Unit for Laboratory Animal Medicine, Department of Microbiology and Immunology, University of Michigan, Ann Arbor, Michigan, 48109, USA</w:t>
      </w:r>
    </w:p>
    <w:p w14:paraId="13645962" w14:textId="02196077" w:rsidR="00C46FE7" w:rsidRPr="003A4512" w:rsidRDefault="00C46FE7" w:rsidP="00C46FE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A4512">
        <w:rPr>
          <w:rFonts w:ascii="Times New Roman" w:hAnsi="Times New Roman" w:cs="Times New Roman"/>
          <w:sz w:val="22"/>
          <w:szCs w:val="22"/>
        </w:rPr>
        <w:t>§Corresponding author: Junguk Hur, Email: junguk.hur@med.und.edu</w:t>
      </w:r>
    </w:p>
    <w:p w14:paraId="4AD4677F" w14:textId="00D131D3" w:rsidR="00415275" w:rsidRPr="003A4512" w:rsidRDefault="00415275" w:rsidP="00620DBE">
      <w:pPr>
        <w:spacing w:after="0" w:line="240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0673EC76" w14:textId="77777777" w:rsidR="008E575D" w:rsidRPr="003A4512" w:rsidRDefault="00C0299C" w:rsidP="00620DB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4512">
        <w:rPr>
          <w:rFonts w:ascii="Times New Roman" w:hAnsi="Times New Roman" w:cs="Times New Roman"/>
          <w:b/>
          <w:bCs/>
          <w:sz w:val="22"/>
          <w:szCs w:val="22"/>
        </w:rPr>
        <w:t>Abstract</w:t>
      </w:r>
    </w:p>
    <w:p w14:paraId="0F3F5679" w14:textId="527F53F4" w:rsidR="00C0299C" w:rsidRPr="003A4512" w:rsidRDefault="00C0299C" w:rsidP="00A52EE4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4512">
        <w:rPr>
          <w:rFonts w:ascii="Times New Roman" w:hAnsi="Times New Roman" w:cs="Times New Roman"/>
          <w:sz w:val="22"/>
          <w:szCs w:val="22"/>
        </w:rPr>
        <w:t>Vaccine adjuvants are essential for enhancing immune responses, yet their representation in infectious disease literature is heterogeneous</w:t>
      </w:r>
      <w:r w:rsidR="00581DF5">
        <w:rPr>
          <w:rFonts w:ascii="Times New Roman" w:hAnsi="Times New Roman" w:cs="Times New Roman"/>
          <w:sz w:val="22"/>
          <w:szCs w:val="22"/>
        </w:rPr>
        <w:t xml:space="preserve"> and</w:t>
      </w:r>
      <w:r w:rsidRPr="003A4512">
        <w:rPr>
          <w:rFonts w:ascii="Times New Roman" w:hAnsi="Times New Roman" w:cs="Times New Roman"/>
          <w:sz w:val="22"/>
          <w:szCs w:val="22"/>
        </w:rPr>
        <w:t xml:space="preserve"> fragmented across synonyms, abbreviations, and experimental formulations, limiting scalable </w:t>
      </w:r>
      <w:r w:rsidR="00167DC8" w:rsidRPr="00167DC8">
        <w:rPr>
          <w:rFonts w:ascii="Times New Roman" w:hAnsi="Times New Roman" w:cs="Times New Roman"/>
          <w:sz w:val="22"/>
          <w:szCs w:val="22"/>
        </w:rPr>
        <w:t>curation of vaccine knowledge</w:t>
      </w:r>
      <w:r w:rsidRPr="003A4512">
        <w:rPr>
          <w:rFonts w:ascii="Times New Roman" w:hAnsi="Times New Roman" w:cs="Times New Roman"/>
          <w:sz w:val="22"/>
          <w:szCs w:val="22"/>
        </w:rPr>
        <w:t>. We present an evidence-</w:t>
      </w:r>
      <w:r w:rsidR="00E06FC1">
        <w:rPr>
          <w:rFonts w:ascii="Times New Roman" w:hAnsi="Times New Roman" w:cs="Times New Roman"/>
          <w:sz w:val="22"/>
          <w:szCs w:val="22"/>
        </w:rPr>
        <w:t xml:space="preserve">supported </w:t>
      </w:r>
      <w:r w:rsidRPr="003A4512">
        <w:rPr>
          <w:rFonts w:ascii="Times New Roman" w:hAnsi="Times New Roman" w:cs="Times New Roman"/>
          <w:sz w:val="22"/>
          <w:szCs w:val="22"/>
        </w:rPr>
        <w:t>information extraction framework for identifying vaccine adjuvants from titles and abstracts of infectious disease publications. A curated corpus was constructed from the VIOLIN</w:t>
      </w:r>
      <w:r w:rsidR="00F271D2" w:rsidRPr="003A4512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 xml:space="preserve">Vaxjo </w:t>
      </w:r>
      <w:r w:rsidR="00F271D2" w:rsidRPr="003A4512">
        <w:rPr>
          <w:rFonts w:ascii="Times New Roman" w:hAnsi="Times New Roman" w:cs="Times New Roman"/>
          <w:sz w:val="22"/>
          <w:szCs w:val="22"/>
        </w:rPr>
        <w:t xml:space="preserve">vaccine adjuvant </w:t>
      </w:r>
      <w:r w:rsidR="00832CB1">
        <w:rPr>
          <w:rFonts w:ascii="Times New Roman" w:hAnsi="Times New Roman" w:cs="Times New Roman"/>
          <w:sz w:val="22"/>
          <w:szCs w:val="22"/>
        </w:rPr>
        <w:t xml:space="preserve">resource </w:t>
      </w:r>
      <w:r w:rsidRPr="003A4512">
        <w:rPr>
          <w:rFonts w:ascii="Times New Roman" w:hAnsi="Times New Roman" w:cs="Times New Roman"/>
          <w:sz w:val="22"/>
          <w:szCs w:val="22"/>
        </w:rPr>
        <w:t xml:space="preserve">by aligning PubMed abstracts with adjuvant–evidence pairs using </w:t>
      </w:r>
      <w:r w:rsidR="00415275" w:rsidRPr="003A4512">
        <w:rPr>
          <w:rFonts w:ascii="Times New Roman" w:hAnsi="Times New Roman" w:cs="Times New Roman"/>
          <w:sz w:val="22"/>
          <w:szCs w:val="22"/>
        </w:rPr>
        <w:t>the V</w:t>
      </w:r>
      <w:r w:rsidR="00FD00F2" w:rsidRPr="003A4512">
        <w:rPr>
          <w:rFonts w:ascii="Times New Roman" w:hAnsi="Times New Roman" w:cs="Times New Roman"/>
          <w:sz w:val="22"/>
          <w:szCs w:val="22"/>
        </w:rPr>
        <w:t xml:space="preserve">accine </w:t>
      </w:r>
      <w:r w:rsidR="00415275" w:rsidRPr="003A4512">
        <w:rPr>
          <w:rFonts w:ascii="Times New Roman" w:hAnsi="Times New Roman" w:cs="Times New Roman"/>
          <w:sz w:val="22"/>
          <w:szCs w:val="22"/>
        </w:rPr>
        <w:t>Ontology</w:t>
      </w:r>
      <w:r w:rsidR="00B444EB">
        <w:rPr>
          <w:rFonts w:ascii="Times New Roman" w:hAnsi="Times New Roman" w:cs="Times New Roman"/>
          <w:sz w:val="22"/>
          <w:szCs w:val="22"/>
        </w:rPr>
        <w:t xml:space="preserve">-based normalization </w:t>
      </w:r>
      <w:r w:rsidR="00FD00F2" w:rsidRPr="003A4512">
        <w:rPr>
          <w:rFonts w:ascii="Times New Roman" w:hAnsi="Times New Roman" w:cs="Times New Roman"/>
          <w:sz w:val="22"/>
          <w:szCs w:val="22"/>
        </w:rPr>
        <w:t xml:space="preserve">and </w:t>
      </w:r>
      <w:r w:rsidRPr="003A4512">
        <w:rPr>
          <w:rFonts w:ascii="Times New Roman" w:hAnsi="Times New Roman" w:cs="Times New Roman"/>
          <w:sz w:val="22"/>
          <w:szCs w:val="22"/>
        </w:rPr>
        <w:t xml:space="preserve">lexicon matching. The final dataset comprised 298 abstracts with sentence-level evidence annotations </w:t>
      </w:r>
      <w:r w:rsidR="00963518">
        <w:rPr>
          <w:rFonts w:ascii="Times New Roman" w:hAnsi="Times New Roman" w:cs="Times New Roman"/>
          <w:sz w:val="22"/>
          <w:szCs w:val="22"/>
        </w:rPr>
        <w:t>46</w:t>
      </w:r>
      <w:r w:rsidR="005732CD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>and fixed train, validation, and test splits to ensure reproducibility.</w:t>
      </w:r>
    </w:p>
    <w:p w14:paraId="1FADCAD7" w14:textId="77777777" w:rsidR="004849F2" w:rsidRPr="003A4512" w:rsidRDefault="004849F2" w:rsidP="00620DB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BE517EF" w14:textId="44C100FD" w:rsidR="00C0299C" w:rsidRDefault="00C0299C" w:rsidP="00A52EE4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4512">
        <w:rPr>
          <w:rFonts w:ascii="Times New Roman" w:hAnsi="Times New Roman" w:cs="Times New Roman"/>
          <w:sz w:val="22"/>
          <w:szCs w:val="22"/>
        </w:rPr>
        <w:t>Instruction-tuned language models were fine</w:t>
      </w:r>
      <w:r w:rsidR="00C02F0E">
        <w:rPr>
          <w:rFonts w:ascii="Times New Roman" w:hAnsi="Times New Roman" w:cs="Times New Roman"/>
          <w:sz w:val="22"/>
          <w:szCs w:val="22"/>
        </w:rPr>
        <w:t>-</w:t>
      </w:r>
      <w:r w:rsidRPr="003A4512">
        <w:rPr>
          <w:rFonts w:ascii="Times New Roman" w:hAnsi="Times New Roman" w:cs="Times New Roman"/>
          <w:sz w:val="22"/>
          <w:szCs w:val="22"/>
        </w:rPr>
        <w:t xml:space="preserve">tuned to output structured JSON containing adjuvant names and supporting evidence snippets using </w:t>
      </w:r>
      <w:r w:rsidR="007C033E">
        <w:rPr>
          <w:rFonts w:ascii="Times New Roman" w:hAnsi="Times New Roman" w:cs="Times New Roman"/>
          <w:sz w:val="22"/>
          <w:szCs w:val="22"/>
        </w:rPr>
        <w:t>parameter-efficient instruction tuning</w:t>
      </w:r>
      <w:r w:rsidRPr="003A4512">
        <w:rPr>
          <w:rFonts w:ascii="Times New Roman" w:hAnsi="Times New Roman" w:cs="Times New Roman"/>
          <w:sz w:val="22"/>
          <w:szCs w:val="22"/>
        </w:rPr>
        <w:t>. Four instruction-tuned models spanning 4B to 70B parameters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 (</w:t>
      </w:r>
      <w:r w:rsidRPr="003A4512">
        <w:rPr>
          <w:rFonts w:ascii="Times New Roman" w:hAnsi="Times New Roman" w:cs="Times New Roman"/>
          <w:sz w:val="22"/>
          <w:szCs w:val="22"/>
        </w:rPr>
        <w:t>Gemma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>3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>4B, Qwen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>2.5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>7B, Mistral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>7B v0.3, and L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lama </w:t>
      </w:r>
      <w:r w:rsidRPr="003A4512">
        <w:rPr>
          <w:rFonts w:ascii="Times New Roman" w:hAnsi="Times New Roman" w:cs="Times New Roman"/>
          <w:sz w:val="22"/>
          <w:szCs w:val="22"/>
        </w:rPr>
        <w:t>3.3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>70B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) </w:t>
      </w:r>
      <w:r w:rsidRPr="003A4512">
        <w:rPr>
          <w:rFonts w:ascii="Times New Roman" w:hAnsi="Times New Roman" w:cs="Times New Roman"/>
          <w:sz w:val="22"/>
          <w:szCs w:val="22"/>
        </w:rPr>
        <w:t xml:space="preserve">were evaluated on a held-out test set </w:t>
      </w:r>
      <w:r w:rsidR="00E715F3" w:rsidRPr="003A4512">
        <w:rPr>
          <w:rFonts w:ascii="Times New Roman" w:hAnsi="Times New Roman" w:cs="Times New Roman"/>
          <w:sz w:val="22"/>
          <w:szCs w:val="22"/>
        </w:rPr>
        <w:t>(</w:t>
      </w:r>
      <w:r w:rsidR="00D0648A" w:rsidRPr="003A4512">
        <w:rPr>
          <w:rFonts w:ascii="Times New Roman" w:hAnsi="Times New Roman" w:cs="Times New Roman"/>
          <w:sz w:val="22"/>
          <w:szCs w:val="22"/>
        </w:rPr>
        <w:t>29 abstracts</w:t>
      </w:r>
      <w:r w:rsidR="001454BC">
        <w:rPr>
          <w:rFonts w:ascii="Times New Roman" w:hAnsi="Times New Roman" w:cs="Times New Roman"/>
          <w:sz w:val="22"/>
          <w:szCs w:val="22"/>
        </w:rPr>
        <w:t xml:space="preserve"> with 41 adjuvants</w:t>
      </w:r>
      <w:r w:rsidR="00E715F3" w:rsidRPr="003A4512">
        <w:rPr>
          <w:rFonts w:ascii="Times New Roman" w:hAnsi="Times New Roman" w:cs="Times New Roman"/>
          <w:sz w:val="22"/>
          <w:szCs w:val="22"/>
        </w:rPr>
        <w:t xml:space="preserve">) </w:t>
      </w:r>
      <w:r w:rsidRPr="003A4512">
        <w:rPr>
          <w:rFonts w:ascii="Times New Roman" w:hAnsi="Times New Roman" w:cs="Times New Roman"/>
          <w:sz w:val="22"/>
          <w:szCs w:val="22"/>
        </w:rPr>
        <w:t>using m</w:t>
      </w:r>
      <w:r w:rsidR="765F6FEC" w:rsidRPr="003A4512">
        <w:rPr>
          <w:rFonts w:ascii="Times New Roman" w:hAnsi="Times New Roman" w:cs="Times New Roman"/>
          <w:sz w:val="22"/>
          <w:szCs w:val="22"/>
        </w:rPr>
        <w:t>i</w:t>
      </w:r>
      <w:r w:rsidRPr="003A4512">
        <w:rPr>
          <w:rFonts w:ascii="Times New Roman" w:hAnsi="Times New Roman" w:cs="Times New Roman"/>
          <w:sz w:val="22"/>
          <w:szCs w:val="22"/>
        </w:rPr>
        <w:t>cro-precision, recall, and F1 metrics</w:t>
      </w:r>
      <w:r w:rsidR="009642DC" w:rsidRPr="003A4512">
        <w:rPr>
          <w:rFonts w:ascii="Times New Roman" w:hAnsi="Times New Roman" w:cs="Times New Roman"/>
          <w:sz w:val="22"/>
          <w:szCs w:val="22"/>
        </w:rPr>
        <w:t xml:space="preserve"> (</w:t>
      </w:r>
      <w:r w:rsidR="009642DC" w:rsidRPr="00963518">
        <w:rPr>
          <w:rFonts w:ascii="Times New Roman" w:hAnsi="Times New Roman" w:cs="Times New Roman"/>
          <w:sz w:val="22"/>
          <w:szCs w:val="22"/>
        </w:rPr>
        <w:t>Table 1</w:t>
      </w:r>
      <w:r w:rsidR="009642DC" w:rsidRPr="003A4512">
        <w:rPr>
          <w:rFonts w:ascii="Times New Roman" w:hAnsi="Times New Roman" w:cs="Times New Roman"/>
          <w:sz w:val="22"/>
          <w:szCs w:val="22"/>
        </w:rPr>
        <w:t>)</w:t>
      </w:r>
      <w:r w:rsidRPr="003A4512">
        <w:rPr>
          <w:rFonts w:ascii="Times New Roman" w:hAnsi="Times New Roman" w:cs="Times New Roman"/>
          <w:sz w:val="22"/>
          <w:szCs w:val="22"/>
        </w:rPr>
        <w:t xml:space="preserve">. The </w:t>
      </w:r>
      <w:r w:rsidR="00FD636B">
        <w:rPr>
          <w:rFonts w:ascii="Times New Roman" w:hAnsi="Times New Roman" w:cs="Times New Roman"/>
          <w:sz w:val="22"/>
          <w:szCs w:val="22"/>
        </w:rPr>
        <w:t xml:space="preserve">evidence </w:t>
      </w:r>
      <w:r w:rsidRPr="003A4512">
        <w:rPr>
          <w:rFonts w:ascii="Times New Roman" w:hAnsi="Times New Roman" w:cs="Times New Roman"/>
          <w:sz w:val="22"/>
          <w:szCs w:val="22"/>
        </w:rPr>
        <w:t xml:space="preserve">requirement enforced grounding </w:t>
      </w:r>
      <w:r w:rsidR="00EB0123">
        <w:rPr>
          <w:rFonts w:ascii="Times New Roman" w:hAnsi="Times New Roman" w:cs="Times New Roman"/>
          <w:sz w:val="22"/>
          <w:szCs w:val="22"/>
        </w:rPr>
        <w:t>by requiring a supporting snippet from the abstract</w:t>
      </w:r>
      <w:r w:rsidR="00D60F09">
        <w:rPr>
          <w:rFonts w:ascii="Times New Roman" w:hAnsi="Times New Roman" w:cs="Times New Roman"/>
          <w:sz w:val="22"/>
          <w:szCs w:val="22"/>
        </w:rPr>
        <w:t xml:space="preserve">, </w:t>
      </w:r>
      <w:r w:rsidR="0035533A" w:rsidRPr="003A4512">
        <w:rPr>
          <w:rFonts w:ascii="Times New Roman" w:hAnsi="Times New Roman" w:cs="Times New Roman"/>
          <w:sz w:val="22"/>
          <w:szCs w:val="22"/>
        </w:rPr>
        <w:t>constrain</w:t>
      </w:r>
      <w:r w:rsidR="00D60F09">
        <w:rPr>
          <w:rFonts w:ascii="Times New Roman" w:hAnsi="Times New Roman" w:cs="Times New Roman"/>
          <w:sz w:val="22"/>
          <w:szCs w:val="22"/>
        </w:rPr>
        <w:t>ing</w:t>
      </w:r>
      <w:r w:rsidR="0035533A" w:rsidRPr="003A4512">
        <w:rPr>
          <w:rFonts w:ascii="Times New Roman" w:hAnsi="Times New Roman" w:cs="Times New Roman"/>
          <w:sz w:val="22"/>
          <w:szCs w:val="22"/>
        </w:rPr>
        <w:t xml:space="preserve"> predictions to </w:t>
      </w:r>
      <w:r w:rsidR="003F7066">
        <w:rPr>
          <w:rFonts w:ascii="Times New Roman" w:hAnsi="Times New Roman" w:cs="Times New Roman"/>
          <w:sz w:val="22"/>
          <w:szCs w:val="22"/>
        </w:rPr>
        <w:t>text-supported mentions</w:t>
      </w:r>
      <w:r w:rsidRPr="003A4512">
        <w:rPr>
          <w:rFonts w:ascii="Times New Roman" w:hAnsi="Times New Roman" w:cs="Times New Roman"/>
          <w:sz w:val="22"/>
          <w:szCs w:val="22"/>
        </w:rPr>
        <w:t>.</w:t>
      </w:r>
    </w:p>
    <w:p w14:paraId="772C7498" w14:textId="77777777" w:rsidR="004849F2" w:rsidRPr="003A4512" w:rsidRDefault="004849F2" w:rsidP="00620DB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4911591" w14:textId="775998A2" w:rsidR="00E715F3" w:rsidRPr="003A4512" w:rsidRDefault="00E715F3" w:rsidP="00620DB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commentRangeStart w:id="0"/>
      <w:r w:rsidRPr="003A4512">
        <w:rPr>
          <w:rFonts w:ascii="Times New Roman" w:hAnsi="Times New Roman" w:cs="Times New Roman"/>
          <w:sz w:val="22"/>
          <w:szCs w:val="22"/>
        </w:rPr>
        <w:t xml:space="preserve">Performance </w:t>
      </w:r>
      <w:commentRangeEnd w:id="0"/>
      <w:r w:rsidRPr="003A4512">
        <w:rPr>
          <w:rStyle w:val="CommentReference"/>
          <w:rFonts w:ascii="Times New Roman" w:hAnsi="Times New Roman" w:cs="Times New Roman"/>
          <w:sz w:val="22"/>
          <w:szCs w:val="22"/>
        </w:rPr>
        <w:commentReference w:id="0"/>
      </w:r>
      <w:r w:rsidRPr="003A4512">
        <w:rPr>
          <w:rFonts w:ascii="Times New Roman" w:hAnsi="Times New Roman" w:cs="Times New Roman"/>
          <w:sz w:val="22"/>
          <w:szCs w:val="22"/>
        </w:rPr>
        <w:t xml:space="preserve">generally increased with model </w:t>
      </w:r>
      <w:r w:rsidR="003F7066">
        <w:rPr>
          <w:rFonts w:ascii="Times New Roman" w:hAnsi="Times New Roman" w:cs="Times New Roman"/>
          <w:sz w:val="22"/>
          <w:szCs w:val="22"/>
        </w:rPr>
        <w:t>size</w:t>
      </w:r>
      <w:r w:rsidRPr="003A4512">
        <w:rPr>
          <w:rFonts w:ascii="Times New Roman" w:hAnsi="Times New Roman" w:cs="Times New Roman"/>
          <w:sz w:val="22"/>
          <w:szCs w:val="22"/>
        </w:rPr>
        <w:t>, with Gemma</w:t>
      </w:r>
      <w:r w:rsidR="00B73B21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>3</w:t>
      </w:r>
      <w:r w:rsidR="00B73B21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 xml:space="preserve">4B showing limited extraction </w:t>
      </w:r>
      <w:r w:rsidR="00976CB7">
        <w:rPr>
          <w:rFonts w:ascii="Times New Roman" w:hAnsi="Times New Roman" w:cs="Times New Roman"/>
          <w:sz w:val="22"/>
          <w:szCs w:val="22"/>
        </w:rPr>
        <w:t xml:space="preserve">performance </w:t>
      </w:r>
      <w:r w:rsidRPr="003A4512">
        <w:rPr>
          <w:rFonts w:ascii="Times New Roman" w:hAnsi="Times New Roman" w:cs="Times New Roman"/>
          <w:sz w:val="22"/>
          <w:szCs w:val="22"/>
        </w:rPr>
        <w:t xml:space="preserve">(F1 = </w:t>
      </w:r>
      <w:r w:rsidR="005842BB" w:rsidRPr="003A4512">
        <w:rPr>
          <w:rFonts w:ascii="Times New Roman" w:hAnsi="Times New Roman" w:cs="Times New Roman"/>
          <w:sz w:val="22"/>
          <w:szCs w:val="22"/>
        </w:rPr>
        <w:t>50.0</w:t>
      </w:r>
      <w:r w:rsidRPr="003A4512">
        <w:rPr>
          <w:rFonts w:ascii="Times New Roman" w:hAnsi="Times New Roman" w:cs="Times New Roman"/>
          <w:sz w:val="22"/>
          <w:szCs w:val="22"/>
        </w:rPr>
        <w:t>%). Notably, among compact models, Mistral 7B achieved the strongest performance (F1 = 7</w:t>
      </w:r>
      <w:r w:rsidR="0132F8C9" w:rsidRPr="003A4512">
        <w:rPr>
          <w:rFonts w:ascii="Times New Roman" w:hAnsi="Times New Roman" w:cs="Times New Roman"/>
          <w:sz w:val="22"/>
          <w:szCs w:val="22"/>
        </w:rPr>
        <w:t>6.9</w:t>
      </w:r>
      <w:r w:rsidRPr="003A4512">
        <w:rPr>
          <w:rFonts w:ascii="Times New Roman" w:hAnsi="Times New Roman" w:cs="Times New Roman"/>
          <w:sz w:val="22"/>
          <w:szCs w:val="22"/>
        </w:rPr>
        <w:t>%), outperforming Qwen 2.5 7B (F1 = 6</w:t>
      </w:r>
      <w:r w:rsidR="6B945928" w:rsidRPr="003A4512">
        <w:rPr>
          <w:rFonts w:ascii="Times New Roman" w:hAnsi="Times New Roman" w:cs="Times New Roman"/>
          <w:sz w:val="22"/>
          <w:szCs w:val="22"/>
        </w:rPr>
        <w:t>4.0</w:t>
      </w:r>
      <w:r w:rsidRPr="003A4512">
        <w:rPr>
          <w:rFonts w:ascii="Times New Roman" w:hAnsi="Times New Roman" w:cs="Times New Roman"/>
          <w:sz w:val="22"/>
          <w:szCs w:val="22"/>
        </w:rPr>
        <w:t>%) and slightly exceeding the 70B-parameter Llama 3.3 model (F1 = 7</w:t>
      </w:r>
      <w:r w:rsidR="2609CE80" w:rsidRPr="003A4512">
        <w:rPr>
          <w:rFonts w:ascii="Times New Roman" w:hAnsi="Times New Roman" w:cs="Times New Roman"/>
          <w:sz w:val="22"/>
          <w:szCs w:val="22"/>
        </w:rPr>
        <w:t>3.</w:t>
      </w:r>
      <w:r w:rsidR="003A4512">
        <w:rPr>
          <w:rFonts w:ascii="Times New Roman" w:hAnsi="Times New Roman" w:cs="Times New Roman"/>
          <w:sz w:val="22"/>
          <w:szCs w:val="22"/>
        </w:rPr>
        <w:t>7</w:t>
      </w:r>
      <w:r w:rsidRPr="003A4512">
        <w:rPr>
          <w:rFonts w:ascii="Times New Roman" w:hAnsi="Times New Roman" w:cs="Times New Roman"/>
          <w:sz w:val="22"/>
          <w:szCs w:val="22"/>
        </w:rPr>
        <w:t xml:space="preserve">%). </w:t>
      </w:r>
      <w:r w:rsidR="000F5C72" w:rsidRPr="003A4512">
        <w:rPr>
          <w:rFonts w:ascii="Times New Roman" w:hAnsi="Times New Roman" w:cs="Times New Roman"/>
          <w:sz w:val="22"/>
          <w:szCs w:val="22"/>
        </w:rPr>
        <w:t xml:space="preserve">Analysis of the highest-performing model showed that the most frequently extracted adjuvants, including interferon-γ, cholera toxin and its B subunit, and aluminum-based formulations, closely matched the distribution observed in gold-standard annotations. Extracted evidence snippets predominantly described antibody induction, cytokine responses, mucosal immunity, and protection against challenge, </w:t>
      </w:r>
      <w:r w:rsidR="00976CB7">
        <w:rPr>
          <w:rFonts w:ascii="Times New Roman" w:hAnsi="Times New Roman" w:cs="Times New Roman"/>
          <w:sz w:val="22"/>
          <w:szCs w:val="22"/>
        </w:rPr>
        <w:t xml:space="preserve">showing strong alignment with </w:t>
      </w:r>
      <w:r w:rsidR="000F5C72" w:rsidRPr="003A4512">
        <w:rPr>
          <w:rFonts w:ascii="Times New Roman" w:hAnsi="Times New Roman" w:cs="Times New Roman"/>
          <w:sz w:val="22"/>
          <w:szCs w:val="22"/>
        </w:rPr>
        <w:t>curated evidence</w:t>
      </w:r>
      <w:r w:rsidR="03245155" w:rsidRPr="003A4512">
        <w:rPr>
          <w:rFonts w:ascii="Times New Roman" w:hAnsi="Times New Roman" w:cs="Times New Roman"/>
          <w:sz w:val="22"/>
          <w:szCs w:val="22"/>
        </w:rPr>
        <w:t xml:space="preserve">. </w:t>
      </w:r>
      <w:r w:rsidR="00441776">
        <w:rPr>
          <w:rFonts w:ascii="Times New Roman" w:hAnsi="Times New Roman" w:cs="Times New Roman"/>
          <w:sz w:val="22"/>
          <w:szCs w:val="22"/>
        </w:rPr>
        <w:t>Together, t</w:t>
      </w:r>
      <w:r w:rsidRPr="003A4512">
        <w:rPr>
          <w:rFonts w:ascii="Times New Roman" w:hAnsi="Times New Roman" w:cs="Times New Roman"/>
          <w:sz w:val="22"/>
          <w:szCs w:val="22"/>
        </w:rPr>
        <w:t xml:space="preserve">hese results </w:t>
      </w:r>
      <w:r w:rsidR="00CC3394">
        <w:rPr>
          <w:rFonts w:ascii="Times New Roman" w:hAnsi="Times New Roman" w:cs="Times New Roman"/>
          <w:sz w:val="22"/>
          <w:szCs w:val="22"/>
        </w:rPr>
        <w:t>demonstrate</w:t>
      </w:r>
      <w:r w:rsidR="00441776">
        <w:rPr>
          <w:rFonts w:ascii="Times New Roman" w:hAnsi="Times New Roman" w:cs="Times New Roman"/>
          <w:sz w:val="22"/>
          <w:szCs w:val="22"/>
        </w:rPr>
        <w:t xml:space="preserve"> </w:t>
      </w:r>
      <w:r w:rsidRPr="003A4512">
        <w:rPr>
          <w:rFonts w:ascii="Times New Roman" w:hAnsi="Times New Roman" w:cs="Times New Roman"/>
          <w:sz w:val="22"/>
          <w:szCs w:val="22"/>
        </w:rPr>
        <w:t>th</w:t>
      </w:r>
      <w:r w:rsidR="009436DD">
        <w:rPr>
          <w:rFonts w:ascii="Times New Roman" w:hAnsi="Times New Roman" w:cs="Times New Roman"/>
          <w:sz w:val="22"/>
          <w:szCs w:val="22"/>
        </w:rPr>
        <w:t xml:space="preserve">at the </w:t>
      </w:r>
      <w:r w:rsidR="00E95147">
        <w:rPr>
          <w:rFonts w:ascii="Times New Roman" w:hAnsi="Times New Roman" w:cs="Times New Roman"/>
          <w:sz w:val="22"/>
          <w:szCs w:val="22"/>
        </w:rPr>
        <w:t xml:space="preserve">framework enables scalable, </w:t>
      </w:r>
      <w:r w:rsidR="00526E35">
        <w:rPr>
          <w:rFonts w:ascii="Times New Roman" w:hAnsi="Times New Roman" w:cs="Times New Roman"/>
          <w:sz w:val="22"/>
          <w:szCs w:val="22"/>
        </w:rPr>
        <w:t xml:space="preserve">evidence-grounded curation of adjuvant use </w:t>
      </w:r>
      <w:r w:rsidR="009436DD">
        <w:rPr>
          <w:rFonts w:ascii="Times New Roman" w:hAnsi="Times New Roman" w:cs="Times New Roman"/>
          <w:sz w:val="22"/>
          <w:szCs w:val="22"/>
        </w:rPr>
        <w:t xml:space="preserve">and reported </w:t>
      </w:r>
      <w:r w:rsidR="00526E35">
        <w:rPr>
          <w:rFonts w:ascii="Times New Roman" w:hAnsi="Times New Roman" w:cs="Times New Roman"/>
          <w:sz w:val="22"/>
          <w:szCs w:val="22"/>
        </w:rPr>
        <w:t xml:space="preserve">immune outcomes </w:t>
      </w:r>
      <w:r w:rsidR="009436DD">
        <w:rPr>
          <w:rFonts w:ascii="Times New Roman" w:hAnsi="Times New Roman" w:cs="Times New Roman"/>
          <w:sz w:val="22"/>
          <w:szCs w:val="22"/>
        </w:rPr>
        <w:t>across infectious disease literature</w:t>
      </w:r>
      <w:r w:rsidR="00526E35">
        <w:rPr>
          <w:rFonts w:ascii="Times New Roman" w:hAnsi="Times New Roman" w:cs="Times New Roman"/>
          <w:sz w:val="22"/>
          <w:szCs w:val="22"/>
        </w:rPr>
        <w:t xml:space="preserve">, </w:t>
      </w:r>
      <w:r w:rsidR="009436DD">
        <w:rPr>
          <w:rFonts w:ascii="Times New Roman" w:hAnsi="Times New Roman" w:cs="Times New Roman"/>
          <w:sz w:val="22"/>
          <w:szCs w:val="22"/>
        </w:rPr>
        <w:t xml:space="preserve">and that </w:t>
      </w:r>
      <w:r w:rsidRPr="003A4512">
        <w:rPr>
          <w:rFonts w:ascii="Times New Roman" w:hAnsi="Times New Roman" w:cs="Times New Roman"/>
          <w:sz w:val="22"/>
          <w:szCs w:val="22"/>
        </w:rPr>
        <w:t xml:space="preserve">well-optimized mid-scale </w:t>
      </w:r>
      <w:r w:rsidR="00401613" w:rsidRPr="003A4512">
        <w:rPr>
          <w:rFonts w:ascii="Times New Roman" w:hAnsi="Times New Roman" w:cs="Times New Roman"/>
          <w:sz w:val="22"/>
          <w:szCs w:val="22"/>
        </w:rPr>
        <w:t xml:space="preserve">language </w:t>
      </w:r>
      <w:r w:rsidRPr="003A4512">
        <w:rPr>
          <w:rFonts w:ascii="Times New Roman" w:hAnsi="Times New Roman" w:cs="Times New Roman"/>
          <w:sz w:val="22"/>
          <w:szCs w:val="22"/>
        </w:rPr>
        <w:t xml:space="preserve">models can match or </w:t>
      </w:r>
      <w:r w:rsidR="00472504">
        <w:rPr>
          <w:rFonts w:ascii="Times New Roman" w:hAnsi="Times New Roman" w:cs="Times New Roman"/>
          <w:sz w:val="22"/>
          <w:szCs w:val="22"/>
        </w:rPr>
        <w:t xml:space="preserve">outperform </w:t>
      </w:r>
      <w:r w:rsidRPr="003A4512">
        <w:rPr>
          <w:rFonts w:ascii="Times New Roman" w:hAnsi="Times New Roman" w:cs="Times New Roman"/>
          <w:sz w:val="22"/>
          <w:szCs w:val="22"/>
        </w:rPr>
        <w:t>substantially larger models.</w:t>
      </w:r>
    </w:p>
    <w:p w14:paraId="34631429" w14:textId="77777777" w:rsidR="00D0389B" w:rsidRPr="003A4512" w:rsidRDefault="00D0389B" w:rsidP="00620DB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89BC574" w14:textId="112CE3B4" w:rsidR="00C0299C" w:rsidRPr="003A4512" w:rsidRDefault="00C0299C" w:rsidP="00620DBE">
      <w:pPr>
        <w:spacing w:after="0" w:line="240" w:lineRule="auto"/>
      </w:pPr>
      <w:commentRangeStart w:id="1"/>
      <w:r w:rsidRPr="003A4512">
        <w:rPr>
          <w:rFonts w:ascii="Times New Roman" w:hAnsi="Times New Roman" w:cs="Times New Roman"/>
          <w:b/>
          <w:bCs/>
          <w:sz w:val="22"/>
          <w:szCs w:val="22"/>
        </w:rPr>
        <w:t>Table 1. Comparative Model Performance</w:t>
      </w:r>
      <w:commentRangeEnd w:id="1"/>
      <w:r>
        <w:rPr>
          <w:rStyle w:val="CommentReference"/>
          <w:rFonts w:ascii="Times New Roman" w:hAnsi="Times New Roman" w:cs="Times New Roman"/>
          <w:b/>
          <w:bCs/>
          <w:sz w:val="22"/>
          <w:szCs w:val="22"/>
        </w:rPr>
        <w:commentReference w:id="1"/>
      </w:r>
      <w:r w:rsidR="00816536">
        <w:rPr>
          <w:rFonts w:ascii="Times New Roman" w:hAnsi="Times New Roman" w:cs="Times New Roman"/>
          <w:b/>
          <w:bCs/>
          <w:sz w:val="22"/>
          <w:szCs w:val="22"/>
        </w:rPr>
        <w:t xml:space="preserve"> on Testing Dataset (n=41)</w:t>
      </w:r>
    </w:p>
    <w:tbl>
      <w:tblPr>
        <w:tblStyle w:val="TableGrid"/>
        <w:tblW w:w="5000" w:type="pct"/>
        <w:jc w:val="center"/>
        <w:tblLook w:val="06A0" w:firstRow="1" w:lastRow="0" w:firstColumn="1" w:lastColumn="0" w:noHBand="1" w:noVBand="1"/>
      </w:tblPr>
      <w:tblGrid>
        <w:gridCol w:w="1434"/>
        <w:gridCol w:w="1212"/>
        <w:gridCol w:w="1062"/>
        <w:gridCol w:w="1137"/>
        <w:gridCol w:w="1120"/>
        <w:gridCol w:w="1212"/>
        <w:gridCol w:w="1012"/>
        <w:gridCol w:w="1161"/>
      </w:tblGrid>
      <w:tr w:rsidR="00633F4F" w:rsidRPr="003A4512" w14:paraId="5158A4BE" w14:textId="77777777" w:rsidTr="00963518">
        <w:trPr>
          <w:trHeight w:val="540"/>
          <w:jc w:val="center"/>
        </w:trPr>
        <w:tc>
          <w:tcPr>
            <w:tcW w:w="767" w:type="pct"/>
            <w:vAlign w:val="center"/>
          </w:tcPr>
          <w:p w14:paraId="388ED67A" w14:textId="7D1AFB4B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Model </w:t>
            </w:r>
          </w:p>
        </w:tc>
        <w:tc>
          <w:tcPr>
            <w:tcW w:w="648" w:type="pct"/>
            <w:vAlign w:val="center"/>
          </w:tcPr>
          <w:p w14:paraId="791815AD" w14:textId="6557D2A1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Parameters </w:t>
            </w:r>
          </w:p>
        </w:tc>
        <w:tc>
          <w:tcPr>
            <w:tcW w:w="568" w:type="pct"/>
            <w:vAlign w:val="center"/>
          </w:tcPr>
          <w:p w14:paraId="1FF81C94" w14:textId="4786815F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True Positive</w:t>
            </w:r>
          </w:p>
        </w:tc>
        <w:tc>
          <w:tcPr>
            <w:tcW w:w="608" w:type="pct"/>
            <w:vAlign w:val="center"/>
          </w:tcPr>
          <w:p w14:paraId="1C3017D0" w14:textId="6E92E891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False Negative</w:t>
            </w:r>
          </w:p>
        </w:tc>
        <w:tc>
          <w:tcPr>
            <w:tcW w:w="599" w:type="pct"/>
            <w:vAlign w:val="center"/>
          </w:tcPr>
          <w:p w14:paraId="478D66C2" w14:textId="0293DFD3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False Positive</w:t>
            </w:r>
          </w:p>
        </w:tc>
        <w:tc>
          <w:tcPr>
            <w:tcW w:w="648" w:type="pct"/>
            <w:vAlign w:val="center"/>
          </w:tcPr>
          <w:p w14:paraId="1FB9F7FA" w14:textId="74934166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Precision (%) </w:t>
            </w:r>
          </w:p>
        </w:tc>
        <w:tc>
          <w:tcPr>
            <w:tcW w:w="541" w:type="pct"/>
            <w:vAlign w:val="center"/>
          </w:tcPr>
          <w:p w14:paraId="45C6D3C2" w14:textId="726107E5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Recall (%) </w:t>
            </w:r>
          </w:p>
        </w:tc>
        <w:tc>
          <w:tcPr>
            <w:tcW w:w="621" w:type="pct"/>
            <w:vAlign w:val="center"/>
          </w:tcPr>
          <w:p w14:paraId="173F4C4B" w14:textId="3D7A194F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F1 Score (%) </w:t>
            </w:r>
          </w:p>
        </w:tc>
      </w:tr>
      <w:tr w:rsidR="00633F4F" w:rsidRPr="003A4512" w14:paraId="3F59320A" w14:textId="77777777" w:rsidTr="00963518">
        <w:trPr>
          <w:trHeight w:val="302"/>
          <w:jc w:val="center"/>
        </w:trPr>
        <w:tc>
          <w:tcPr>
            <w:tcW w:w="767" w:type="pct"/>
            <w:vAlign w:val="center"/>
          </w:tcPr>
          <w:p w14:paraId="4B8D073D" w14:textId="44BB4806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Gemma 3 </w:t>
            </w:r>
          </w:p>
        </w:tc>
        <w:tc>
          <w:tcPr>
            <w:tcW w:w="648" w:type="pct"/>
            <w:vAlign w:val="center"/>
          </w:tcPr>
          <w:p w14:paraId="5C23E30C" w14:textId="62B0D3BA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4B </w:t>
            </w:r>
          </w:p>
        </w:tc>
        <w:tc>
          <w:tcPr>
            <w:tcW w:w="568" w:type="pct"/>
            <w:vAlign w:val="center"/>
          </w:tcPr>
          <w:p w14:paraId="6CE9462A" w14:textId="4DC36EE9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608" w:type="pct"/>
            <w:vAlign w:val="center"/>
          </w:tcPr>
          <w:p w14:paraId="3E5F6604" w14:textId="14F0E2BD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599" w:type="pct"/>
            <w:vAlign w:val="center"/>
          </w:tcPr>
          <w:p w14:paraId="11388485" w14:textId="58D24853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648" w:type="pct"/>
            <w:vAlign w:val="center"/>
          </w:tcPr>
          <w:p w14:paraId="1E85D6FF" w14:textId="444C3B78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69.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541" w:type="pct"/>
            <w:vAlign w:val="center"/>
          </w:tcPr>
          <w:p w14:paraId="54CA100B" w14:textId="3B924136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39.0</w:t>
            </w:r>
          </w:p>
        </w:tc>
        <w:tc>
          <w:tcPr>
            <w:tcW w:w="621" w:type="pct"/>
            <w:vAlign w:val="center"/>
          </w:tcPr>
          <w:p w14:paraId="7DF86A29" w14:textId="74DC8D8E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50.0</w:t>
            </w:r>
          </w:p>
        </w:tc>
      </w:tr>
      <w:tr w:rsidR="00633F4F" w:rsidRPr="003A4512" w14:paraId="2EB3A27F" w14:textId="77777777" w:rsidTr="00963518">
        <w:trPr>
          <w:trHeight w:val="302"/>
          <w:jc w:val="center"/>
        </w:trPr>
        <w:tc>
          <w:tcPr>
            <w:tcW w:w="767" w:type="pct"/>
            <w:vAlign w:val="center"/>
          </w:tcPr>
          <w:p w14:paraId="4C53B897" w14:textId="4A3A6052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Qwen 2.5 </w:t>
            </w:r>
          </w:p>
        </w:tc>
        <w:tc>
          <w:tcPr>
            <w:tcW w:w="648" w:type="pct"/>
            <w:vAlign w:val="center"/>
          </w:tcPr>
          <w:p w14:paraId="56149083" w14:textId="58CCFFA1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7B </w:t>
            </w:r>
          </w:p>
        </w:tc>
        <w:tc>
          <w:tcPr>
            <w:tcW w:w="568" w:type="pct"/>
            <w:vAlign w:val="center"/>
          </w:tcPr>
          <w:p w14:paraId="67F1CBCA" w14:textId="2AAE1476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608" w:type="pct"/>
            <w:vAlign w:val="center"/>
          </w:tcPr>
          <w:p w14:paraId="2B9F74A6" w14:textId="78371B0A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599" w:type="pct"/>
            <w:vAlign w:val="center"/>
          </w:tcPr>
          <w:p w14:paraId="7ACF6573" w14:textId="758CF289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648" w:type="pct"/>
            <w:vAlign w:val="center"/>
          </w:tcPr>
          <w:p w14:paraId="03A56F5D" w14:textId="532AD133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70.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541" w:type="pct"/>
            <w:vAlign w:val="center"/>
          </w:tcPr>
          <w:p w14:paraId="4BBD4896" w14:textId="2CA86932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58.5</w:t>
            </w:r>
          </w:p>
        </w:tc>
        <w:tc>
          <w:tcPr>
            <w:tcW w:w="621" w:type="pct"/>
            <w:vAlign w:val="center"/>
          </w:tcPr>
          <w:p w14:paraId="4580D981" w14:textId="53D86A92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64.0</w:t>
            </w:r>
          </w:p>
        </w:tc>
      </w:tr>
      <w:tr w:rsidR="00633F4F" w:rsidRPr="003A4512" w14:paraId="511A10BD" w14:textId="77777777" w:rsidTr="00963518">
        <w:trPr>
          <w:trHeight w:val="302"/>
          <w:jc w:val="center"/>
        </w:trPr>
        <w:tc>
          <w:tcPr>
            <w:tcW w:w="767" w:type="pct"/>
            <w:vAlign w:val="center"/>
          </w:tcPr>
          <w:p w14:paraId="3D0E41F8" w14:textId="688E09F5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Mistral v0.3 </w:t>
            </w:r>
          </w:p>
        </w:tc>
        <w:tc>
          <w:tcPr>
            <w:tcW w:w="648" w:type="pct"/>
            <w:vAlign w:val="center"/>
          </w:tcPr>
          <w:p w14:paraId="16285228" w14:textId="30919C7A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7B </w:t>
            </w:r>
          </w:p>
        </w:tc>
        <w:tc>
          <w:tcPr>
            <w:tcW w:w="568" w:type="pct"/>
            <w:vAlign w:val="center"/>
          </w:tcPr>
          <w:p w14:paraId="679E15BA" w14:textId="57F8D8F3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608" w:type="pct"/>
            <w:vAlign w:val="center"/>
          </w:tcPr>
          <w:p w14:paraId="5AB07497" w14:textId="7515392E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599" w:type="pct"/>
            <w:vAlign w:val="center"/>
          </w:tcPr>
          <w:p w14:paraId="13A9A46E" w14:textId="11098E37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648" w:type="pct"/>
            <w:vAlign w:val="center"/>
          </w:tcPr>
          <w:p w14:paraId="198F50A1" w14:textId="502DAE8E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81.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41" w:type="pct"/>
            <w:vAlign w:val="center"/>
          </w:tcPr>
          <w:p w14:paraId="1FB8008F" w14:textId="086ECEBF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73.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621" w:type="pct"/>
            <w:vAlign w:val="center"/>
          </w:tcPr>
          <w:p w14:paraId="765BAECE" w14:textId="1DFE1FF3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76.9</w:t>
            </w:r>
          </w:p>
        </w:tc>
      </w:tr>
      <w:tr w:rsidR="00633F4F" w14:paraId="21138FFF" w14:textId="77777777" w:rsidTr="00963518">
        <w:trPr>
          <w:trHeight w:val="302"/>
          <w:jc w:val="center"/>
        </w:trPr>
        <w:tc>
          <w:tcPr>
            <w:tcW w:w="767" w:type="pct"/>
            <w:vAlign w:val="center"/>
          </w:tcPr>
          <w:p w14:paraId="5E890757" w14:textId="351B147C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Llama 3.3 </w:t>
            </w:r>
          </w:p>
        </w:tc>
        <w:tc>
          <w:tcPr>
            <w:tcW w:w="648" w:type="pct"/>
            <w:vAlign w:val="center"/>
          </w:tcPr>
          <w:p w14:paraId="03B43BB4" w14:textId="241B154F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70B </w:t>
            </w:r>
          </w:p>
        </w:tc>
        <w:tc>
          <w:tcPr>
            <w:tcW w:w="568" w:type="pct"/>
            <w:vAlign w:val="center"/>
          </w:tcPr>
          <w:p w14:paraId="0778995F" w14:textId="25FBDCE8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608" w:type="pct"/>
            <w:vAlign w:val="center"/>
          </w:tcPr>
          <w:p w14:paraId="55342105" w14:textId="4A3F7EF0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599" w:type="pct"/>
            <w:vAlign w:val="center"/>
          </w:tcPr>
          <w:p w14:paraId="49C8B61F" w14:textId="65775BAB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648" w:type="pct"/>
            <w:vAlign w:val="center"/>
          </w:tcPr>
          <w:p w14:paraId="7451EA29" w14:textId="391C6759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80.0</w:t>
            </w:r>
          </w:p>
        </w:tc>
        <w:tc>
          <w:tcPr>
            <w:tcW w:w="541" w:type="pct"/>
            <w:vAlign w:val="center"/>
          </w:tcPr>
          <w:p w14:paraId="05C77D17" w14:textId="7DBE67C9" w:rsidR="00633F4F" w:rsidRPr="003A4512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68.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621" w:type="pct"/>
            <w:vAlign w:val="center"/>
          </w:tcPr>
          <w:p w14:paraId="1A35D6D5" w14:textId="0356FBBD" w:rsidR="00633F4F" w:rsidRDefault="00633F4F" w:rsidP="00633F4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A451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73.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</w:t>
            </w:r>
          </w:p>
        </w:tc>
      </w:tr>
    </w:tbl>
    <w:p w14:paraId="221C10B3" w14:textId="77777777" w:rsidR="00D223D0" w:rsidRPr="00620DBE" w:rsidRDefault="00D223D0" w:rsidP="005F0F3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D223D0" w:rsidRPr="00620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r, Junguk" w:date="2026-01-18T21:23:00Z" w:initials="JH">
    <w:p w14:paraId="6CF3672B" w14:textId="2D0EF069" w:rsidR="00C75990" w:rsidRDefault="00C75990">
      <w:pPr>
        <w:pStyle w:val="CommentText"/>
      </w:pPr>
      <w:r>
        <w:rPr>
          <w:rStyle w:val="CommentReference"/>
        </w:rPr>
        <w:annotationRef/>
      </w:r>
      <w:r>
        <w:t xml:space="preserve">The results is only about the performance. Considering the audience of the conference, we need to show what we are actually getting as the output. </w:t>
      </w:r>
    </w:p>
    <w:p w14:paraId="6660D37D" w14:textId="77777777" w:rsidR="00C75990" w:rsidRDefault="00C75990">
      <w:pPr>
        <w:pStyle w:val="CommentText"/>
      </w:pPr>
    </w:p>
    <w:p w14:paraId="75EEBF61" w14:textId="03C16FC6" w:rsidR="00C75990" w:rsidRDefault="00C75990">
      <w:pPr>
        <w:pStyle w:val="CommentText"/>
      </w:pPr>
      <w:r>
        <w:t>Some adjuvant (most prevalent)?</w:t>
      </w:r>
      <w:r w:rsidR="00056DC5">
        <w:t xml:space="preserve"> And its </w:t>
      </w:r>
      <w:r w:rsidR="00056DC5" w:rsidRPr="00056DC5">
        <w:rPr>
          <w:b/>
          <w:bCs/>
        </w:rPr>
        <w:t>evidence</w:t>
      </w:r>
      <w:r w:rsidR="00056DC5">
        <w:t>.</w:t>
      </w:r>
    </w:p>
  </w:comment>
  <w:comment w:id="1" w:author="Hur, Junguk" w:date="2026-01-20T07:02:00Z" w:initials="JH">
    <w:p w14:paraId="20679144" w14:textId="77777777" w:rsidR="00A74565" w:rsidRDefault="00A74565">
      <w:pPr>
        <w:pStyle w:val="CommentText"/>
        <w:rPr>
          <w:noProof/>
        </w:rPr>
      </w:pPr>
      <w:r>
        <w:rPr>
          <w:rStyle w:val="CommentReference"/>
        </w:rPr>
        <w:annotationRef/>
      </w:r>
      <w:r w:rsidR="008643E0">
        <w:rPr>
          <w:noProof/>
        </w:rPr>
        <w:t xml:space="preserve">Cite Table 1 in the text. </w:t>
      </w:r>
    </w:p>
    <w:p w14:paraId="77E967E5" w14:textId="67F53188" w:rsidR="00A74565" w:rsidRDefault="008643E0">
      <w:pPr>
        <w:pStyle w:val="CommentText"/>
      </w:pPr>
      <w:r>
        <w:rPr>
          <w:noProof/>
        </w:rPr>
        <w:t xml:space="preserve">Instead of invalid output, show the total number of gold-standard adjuvants in the 29 abstracts, TP, FP, TN, FN.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EEBF61" w15:done="0"/>
  <w15:commentEx w15:paraId="77E967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7F39AE" w16cex:dateUtc="2026-01-19T03:23:00Z"/>
  <w16cex:commentExtensible w16cex:durableId="0A26D358" w16cex:dateUtc="2026-01-20T13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EEBF61" w16cid:durableId="3D7F39AE"/>
  <w16cid:commentId w16cid:paraId="77E967E5" w16cid:durableId="0A26D3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BC8BD" w14:textId="77777777" w:rsidR="00943B07" w:rsidRDefault="00943B07" w:rsidP="008E575D">
      <w:pPr>
        <w:spacing w:after="0" w:line="240" w:lineRule="auto"/>
      </w:pPr>
      <w:r>
        <w:separator/>
      </w:r>
    </w:p>
  </w:endnote>
  <w:endnote w:type="continuationSeparator" w:id="0">
    <w:p w14:paraId="591CBB94" w14:textId="77777777" w:rsidR="00943B07" w:rsidRDefault="00943B07" w:rsidP="008E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E2C0" w14:textId="77777777" w:rsidR="00943B07" w:rsidRDefault="00943B07" w:rsidP="008E575D">
      <w:pPr>
        <w:spacing w:after="0" w:line="240" w:lineRule="auto"/>
      </w:pPr>
      <w:r>
        <w:separator/>
      </w:r>
    </w:p>
  </w:footnote>
  <w:footnote w:type="continuationSeparator" w:id="0">
    <w:p w14:paraId="24CBF637" w14:textId="77777777" w:rsidR="00943B07" w:rsidRDefault="00943B07" w:rsidP="008E575D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r, Junguk">
    <w15:presenceInfo w15:providerId="None" w15:userId="Hur, Jungu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BInMLAyNDExNzAwNzIyUdpeDU4uLM/DyQAqNaAFGayWMsAAAA"/>
  </w:docVars>
  <w:rsids>
    <w:rsidRoot w:val="00D223D0"/>
    <w:rsid w:val="00024066"/>
    <w:rsid w:val="00025254"/>
    <w:rsid w:val="00033625"/>
    <w:rsid w:val="000531D1"/>
    <w:rsid w:val="00056DC5"/>
    <w:rsid w:val="0009783C"/>
    <w:rsid w:val="000F5C72"/>
    <w:rsid w:val="0013006C"/>
    <w:rsid w:val="00142AEA"/>
    <w:rsid w:val="001454BC"/>
    <w:rsid w:val="00167DC8"/>
    <w:rsid w:val="00182286"/>
    <w:rsid w:val="00184550"/>
    <w:rsid w:val="001870A7"/>
    <w:rsid w:val="001B3C42"/>
    <w:rsid w:val="001D39DB"/>
    <w:rsid w:val="001E6162"/>
    <w:rsid w:val="001F64ED"/>
    <w:rsid w:val="00206BB3"/>
    <w:rsid w:val="0022742F"/>
    <w:rsid w:val="00233641"/>
    <w:rsid w:val="002A2743"/>
    <w:rsid w:val="002B4682"/>
    <w:rsid w:val="002D6D28"/>
    <w:rsid w:val="0035533A"/>
    <w:rsid w:val="00356CAA"/>
    <w:rsid w:val="0037692C"/>
    <w:rsid w:val="003A4512"/>
    <w:rsid w:val="003B714B"/>
    <w:rsid w:val="003F7066"/>
    <w:rsid w:val="00401613"/>
    <w:rsid w:val="00415275"/>
    <w:rsid w:val="00426E87"/>
    <w:rsid w:val="00441776"/>
    <w:rsid w:val="0044286B"/>
    <w:rsid w:val="004620D4"/>
    <w:rsid w:val="00472504"/>
    <w:rsid w:val="004731AE"/>
    <w:rsid w:val="00482336"/>
    <w:rsid w:val="004849F2"/>
    <w:rsid w:val="004C2467"/>
    <w:rsid w:val="004C51EB"/>
    <w:rsid w:val="004D65CD"/>
    <w:rsid w:val="00526E35"/>
    <w:rsid w:val="005634ED"/>
    <w:rsid w:val="005732CD"/>
    <w:rsid w:val="00581DF5"/>
    <w:rsid w:val="005842BB"/>
    <w:rsid w:val="005E240A"/>
    <w:rsid w:val="005E5E0C"/>
    <w:rsid w:val="005F0F36"/>
    <w:rsid w:val="005F698D"/>
    <w:rsid w:val="005F6E3D"/>
    <w:rsid w:val="00620DBE"/>
    <w:rsid w:val="00627F6A"/>
    <w:rsid w:val="00633F4F"/>
    <w:rsid w:val="00637AE9"/>
    <w:rsid w:val="006456E6"/>
    <w:rsid w:val="006508D1"/>
    <w:rsid w:val="0066009C"/>
    <w:rsid w:val="006802BA"/>
    <w:rsid w:val="006838E5"/>
    <w:rsid w:val="006E07F1"/>
    <w:rsid w:val="006F6211"/>
    <w:rsid w:val="006F7027"/>
    <w:rsid w:val="00706C42"/>
    <w:rsid w:val="00723189"/>
    <w:rsid w:val="00740B6A"/>
    <w:rsid w:val="007509CA"/>
    <w:rsid w:val="00773963"/>
    <w:rsid w:val="00787B97"/>
    <w:rsid w:val="007C033E"/>
    <w:rsid w:val="007F19EB"/>
    <w:rsid w:val="007F25E9"/>
    <w:rsid w:val="00807F9C"/>
    <w:rsid w:val="00816536"/>
    <w:rsid w:val="00816564"/>
    <w:rsid w:val="00832CB1"/>
    <w:rsid w:val="008643E0"/>
    <w:rsid w:val="00882375"/>
    <w:rsid w:val="00887D57"/>
    <w:rsid w:val="008E575D"/>
    <w:rsid w:val="008F7E76"/>
    <w:rsid w:val="00907567"/>
    <w:rsid w:val="00924A32"/>
    <w:rsid w:val="00936E27"/>
    <w:rsid w:val="009436DD"/>
    <w:rsid w:val="00943B07"/>
    <w:rsid w:val="00963518"/>
    <w:rsid w:val="009642DC"/>
    <w:rsid w:val="00970231"/>
    <w:rsid w:val="00976CB7"/>
    <w:rsid w:val="009C012E"/>
    <w:rsid w:val="00A52EE4"/>
    <w:rsid w:val="00A74565"/>
    <w:rsid w:val="00A77DBB"/>
    <w:rsid w:val="00A8788B"/>
    <w:rsid w:val="00A90ED3"/>
    <w:rsid w:val="00AB6AAA"/>
    <w:rsid w:val="00B21D62"/>
    <w:rsid w:val="00B444EB"/>
    <w:rsid w:val="00B452A3"/>
    <w:rsid w:val="00B60255"/>
    <w:rsid w:val="00B73B21"/>
    <w:rsid w:val="00B85DFE"/>
    <w:rsid w:val="00B90707"/>
    <w:rsid w:val="00B923F3"/>
    <w:rsid w:val="00C0299C"/>
    <w:rsid w:val="00C02F0E"/>
    <w:rsid w:val="00C41C15"/>
    <w:rsid w:val="00C46FE7"/>
    <w:rsid w:val="00C61FAE"/>
    <w:rsid w:val="00C75990"/>
    <w:rsid w:val="00CC3394"/>
    <w:rsid w:val="00CD0CA6"/>
    <w:rsid w:val="00CF0E28"/>
    <w:rsid w:val="00D0389B"/>
    <w:rsid w:val="00D0648A"/>
    <w:rsid w:val="00D223D0"/>
    <w:rsid w:val="00D5744B"/>
    <w:rsid w:val="00D60F09"/>
    <w:rsid w:val="00D62E7F"/>
    <w:rsid w:val="00DB7F1C"/>
    <w:rsid w:val="00DF6B44"/>
    <w:rsid w:val="00E06FC1"/>
    <w:rsid w:val="00E16051"/>
    <w:rsid w:val="00E24337"/>
    <w:rsid w:val="00E3635C"/>
    <w:rsid w:val="00E424F8"/>
    <w:rsid w:val="00E54174"/>
    <w:rsid w:val="00E715F3"/>
    <w:rsid w:val="00E95147"/>
    <w:rsid w:val="00EA49D0"/>
    <w:rsid w:val="00EB0123"/>
    <w:rsid w:val="00EF7B3B"/>
    <w:rsid w:val="00F20497"/>
    <w:rsid w:val="00F271D2"/>
    <w:rsid w:val="00F60F68"/>
    <w:rsid w:val="00F7163E"/>
    <w:rsid w:val="00F94B8F"/>
    <w:rsid w:val="00FB0D9E"/>
    <w:rsid w:val="00FD00F2"/>
    <w:rsid w:val="00FD0B07"/>
    <w:rsid w:val="00FD636B"/>
    <w:rsid w:val="00FF3A12"/>
    <w:rsid w:val="00FF66D1"/>
    <w:rsid w:val="0132F8C9"/>
    <w:rsid w:val="03245155"/>
    <w:rsid w:val="073B29C6"/>
    <w:rsid w:val="0B3E8BBC"/>
    <w:rsid w:val="0F07EF34"/>
    <w:rsid w:val="1FEEBD4B"/>
    <w:rsid w:val="2609CE80"/>
    <w:rsid w:val="31629BDA"/>
    <w:rsid w:val="33D9B9CE"/>
    <w:rsid w:val="36B88E80"/>
    <w:rsid w:val="37657348"/>
    <w:rsid w:val="44734674"/>
    <w:rsid w:val="4F40A81A"/>
    <w:rsid w:val="50A137E9"/>
    <w:rsid w:val="571E7A52"/>
    <w:rsid w:val="57F0E4F1"/>
    <w:rsid w:val="5FFB22AD"/>
    <w:rsid w:val="62F42578"/>
    <w:rsid w:val="64798214"/>
    <w:rsid w:val="69399111"/>
    <w:rsid w:val="6B945928"/>
    <w:rsid w:val="731BA27D"/>
    <w:rsid w:val="7490F5C3"/>
    <w:rsid w:val="765F6FEC"/>
    <w:rsid w:val="792B65FF"/>
    <w:rsid w:val="796E6557"/>
    <w:rsid w:val="79928B0D"/>
    <w:rsid w:val="7FAD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2AB38"/>
  <w15:chartTrackingRefBased/>
  <w15:docId w15:val="{9D29666F-3676-47C1-9BF9-E7D51E449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3D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878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78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78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78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788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C012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E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75D"/>
  </w:style>
  <w:style w:type="paragraph" w:styleId="Footer">
    <w:name w:val="footer"/>
    <w:basedOn w:val="Normal"/>
    <w:link w:val="FooterChar"/>
    <w:uiPriority w:val="99"/>
    <w:unhideWhenUsed/>
    <w:rsid w:val="008E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75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0ca090-da8c-4360-a3bc-148c3bd51ef5}" enabled="1" method="Standard" siteId="{ec37a091-b9a6-47e5-98d0-903d4a4192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Rehana, Hasin</dc:creator>
  <cp:keywords/>
  <dc:description/>
  <cp:lastModifiedBy>Rehana, Hasin</cp:lastModifiedBy>
  <cp:revision>55</cp:revision>
  <dcterms:created xsi:type="dcterms:W3CDTF">2026-01-21T12:57:00Z</dcterms:created>
  <dcterms:modified xsi:type="dcterms:W3CDTF">2026-05-28T21:32:00Z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a9a8f87d-703b-4487-823e-0997fc7e1ec7</vt:lpwstr>
  </property>
</Properties>
</file>