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197A"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972D65">
        <w:rPr>
          <w:rFonts w:ascii="Times New Roman" w:eastAsia="Times New Roman" w:hAnsi="Times New Roman" w:cs="Times New Roman"/>
          <w:b/>
          <w:bCs/>
          <w:kern w:val="0"/>
          <w:sz w:val="24"/>
          <w:szCs w:val="24"/>
          <w:u w:val="single"/>
          <w14:ligatures w14:val="none"/>
        </w:rPr>
        <w:t>Issue 1: Composition confounding (the core problem)</w:t>
      </w:r>
    </w:p>
    <w:p w14:paraId="7D3D2E77"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t>The fundamental problem is that bulk RNA-seq cannot separate "fewer adipocytes" from "</w:t>
      </w:r>
      <w:r w:rsidRPr="00972D65">
        <w:rPr>
          <w:rFonts w:ascii="Times New Roman" w:eastAsia="Times New Roman" w:hAnsi="Times New Roman" w:cs="Times New Roman"/>
          <w:kern w:val="0"/>
          <w:sz w:val="24"/>
          <w:szCs w:val="24"/>
          <w:highlight w:val="yellow"/>
          <w14:ligatures w14:val="none"/>
        </w:rPr>
        <w:t>adipocytes expressing less</w:t>
      </w:r>
      <w:r w:rsidRPr="00972D65">
        <w:rPr>
          <w:rFonts w:ascii="Times New Roman" w:eastAsia="Times New Roman" w:hAnsi="Times New Roman" w:cs="Times New Roman"/>
          <w:kern w:val="0"/>
          <w:sz w:val="24"/>
          <w:szCs w:val="24"/>
          <w14:ligatures w14:val="none"/>
        </w:rPr>
        <w:t>." You have three tractable paths forward, roughly in order of effort and interpretive power:</w:t>
      </w:r>
    </w:p>
    <w:p w14:paraId="2F2C8092"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i/>
          <w:iCs/>
          <w:kern w:val="0"/>
          <w:sz w:val="24"/>
          <w:szCs w:val="24"/>
          <w14:ligatures w14:val="none"/>
        </w:rPr>
        <w:t xml:space="preserve">Path A — Formal deconvolution on the existing </w:t>
      </w:r>
      <w:proofErr w:type="spellStart"/>
      <w:r w:rsidRPr="00972D65">
        <w:rPr>
          <w:rFonts w:ascii="Times New Roman" w:eastAsia="Times New Roman" w:hAnsi="Times New Roman" w:cs="Times New Roman"/>
          <w:i/>
          <w:iCs/>
          <w:kern w:val="0"/>
          <w:sz w:val="24"/>
          <w:szCs w:val="24"/>
          <w14:ligatures w14:val="none"/>
        </w:rPr>
        <w:t>GTEx</w:t>
      </w:r>
      <w:proofErr w:type="spellEnd"/>
      <w:r w:rsidRPr="00972D65">
        <w:rPr>
          <w:rFonts w:ascii="Times New Roman" w:eastAsia="Times New Roman" w:hAnsi="Times New Roman" w:cs="Times New Roman"/>
          <w:i/>
          <w:iCs/>
          <w:kern w:val="0"/>
          <w:sz w:val="24"/>
          <w:szCs w:val="24"/>
          <w14:ligatures w14:val="none"/>
        </w:rPr>
        <w:t xml:space="preserve"> data.</w:t>
      </w:r>
      <w:r w:rsidRPr="00972D65">
        <w:rPr>
          <w:rFonts w:ascii="Times New Roman" w:eastAsia="Times New Roman" w:hAnsi="Times New Roman" w:cs="Times New Roman"/>
          <w:kern w:val="0"/>
          <w:sz w:val="24"/>
          <w:szCs w:val="24"/>
          <w14:ligatures w14:val="none"/>
        </w:rPr>
        <w:t xml:space="preserve"> Run </w:t>
      </w:r>
      <w:proofErr w:type="spellStart"/>
      <w:r w:rsidRPr="00972D65">
        <w:rPr>
          <w:rFonts w:ascii="Times New Roman" w:eastAsia="Times New Roman" w:hAnsi="Times New Roman" w:cs="Times New Roman"/>
          <w:kern w:val="0"/>
          <w:sz w:val="24"/>
          <w:szCs w:val="24"/>
          <w14:ligatures w14:val="none"/>
        </w:rPr>
        <w:t>MuSiC</w:t>
      </w:r>
      <w:proofErr w:type="spellEnd"/>
      <w:r w:rsidRPr="00972D65">
        <w:rPr>
          <w:rFonts w:ascii="Times New Roman" w:eastAsia="Times New Roman" w:hAnsi="Times New Roman" w:cs="Times New Roman"/>
          <w:kern w:val="0"/>
          <w:sz w:val="24"/>
          <w:szCs w:val="24"/>
          <w14:ligatures w14:val="none"/>
        </w:rPr>
        <w:t xml:space="preserve"> or </w:t>
      </w:r>
      <w:proofErr w:type="spellStart"/>
      <w:r w:rsidRPr="00972D65">
        <w:rPr>
          <w:rFonts w:ascii="Times New Roman" w:eastAsia="Times New Roman" w:hAnsi="Times New Roman" w:cs="Times New Roman"/>
          <w:kern w:val="0"/>
          <w:sz w:val="24"/>
          <w:szCs w:val="24"/>
          <w14:ligatures w14:val="none"/>
        </w:rPr>
        <w:t>BayesPrism</w:t>
      </w:r>
      <w:proofErr w:type="spellEnd"/>
      <w:r w:rsidRPr="00972D65">
        <w:rPr>
          <w:rFonts w:ascii="Times New Roman" w:eastAsia="Times New Roman" w:hAnsi="Times New Roman" w:cs="Times New Roman"/>
          <w:kern w:val="0"/>
          <w:sz w:val="24"/>
          <w:szCs w:val="24"/>
          <w14:ligatures w14:val="none"/>
        </w:rPr>
        <w:t xml:space="preserve"> using a human adipose snRNA-seq atlas (Emont et al. 2022 Nature is the best current reference) as the signature matrix. This gives you estimated cell fractions per </w:t>
      </w:r>
      <w:proofErr w:type="spellStart"/>
      <w:r w:rsidRPr="00972D65">
        <w:rPr>
          <w:rFonts w:ascii="Times New Roman" w:eastAsia="Times New Roman" w:hAnsi="Times New Roman" w:cs="Times New Roman"/>
          <w:kern w:val="0"/>
          <w:sz w:val="24"/>
          <w:szCs w:val="24"/>
          <w14:ligatures w14:val="none"/>
        </w:rPr>
        <w:t>GTEx</w:t>
      </w:r>
      <w:proofErr w:type="spellEnd"/>
      <w:r w:rsidRPr="00972D65">
        <w:rPr>
          <w:rFonts w:ascii="Times New Roman" w:eastAsia="Times New Roman" w:hAnsi="Times New Roman" w:cs="Times New Roman"/>
          <w:kern w:val="0"/>
          <w:sz w:val="24"/>
          <w:szCs w:val="24"/>
          <w14:ligatures w14:val="none"/>
        </w:rPr>
        <w:t xml:space="preserve"> sample. You can then (</w:t>
      </w:r>
      <w:proofErr w:type="spellStart"/>
      <w:r w:rsidRPr="00972D65">
        <w:rPr>
          <w:rFonts w:ascii="Times New Roman" w:eastAsia="Times New Roman" w:hAnsi="Times New Roman" w:cs="Times New Roman"/>
          <w:kern w:val="0"/>
          <w:sz w:val="24"/>
          <w:szCs w:val="24"/>
          <w14:ligatures w14:val="none"/>
        </w:rPr>
        <w:t>i</w:t>
      </w:r>
      <w:proofErr w:type="spellEnd"/>
      <w:r w:rsidRPr="00972D65">
        <w:rPr>
          <w:rFonts w:ascii="Times New Roman" w:eastAsia="Times New Roman" w:hAnsi="Times New Roman" w:cs="Times New Roman"/>
          <w:kern w:val="0"/>
          <w:sz w:val="24"/>
          <w:szCs w:val="24"/>
          <w14:ligatures w14:val="none"/>
        </w:rPr>
        <w:t xml:space="preserve">) directly test whether adipocyte fraction differs by menopause-proxy group, and (ii) replace the crude marker proxies with estimated fractions as covariates in your linear models. This is entirely computational, uses data you already have, and would substantially strengthen the composition sensitivity analysis. </w:t>
      </w:r>
      <w:proofErr w:type="spellStart"/>
      <w:r w:rsidRPr="00972D65">
        <w:rPr>
          <w:rFonts w:ascii="Times New Roman" w:eastAsia="Times New Roman" w:hAnsi="Times New Roman" w:cs="Times New Roman"/>
          <w:kern w:val="0"/>
          <w:sz w:val="24"/>
          <w:szCs w:val="24"/>
          <w14:ligatures w14:val="none"/>
        </w:rPr>
        <w:t>BayesPrism</w:t>
      </w:r>
      <w:proofErr w:type="spellEnd"/>
      <w:r w:rsidRPr="00972D65">
        <w:rPr>
          <w:rFonts w:ascii="Times New Roman" w:eastAsia="Times New Roman" w:hAnsi="Times New Roman" w:cs="Times New Roman"/>
          <w:kern w:val="0"/>
          <w:sz w:val="24"/>
          <w:szCs w:val="24"/>
          <w14:ligatures w14:val="none"/>
        </w:rPr>
        <w:t xml:space="preserve"> is particularly well-suited here because it also returns cell-type-specific expression estimates, which partially </w:t>
      </w:r>
      <w:proofErr w:type="gramStart"/>
      <w:r w:rsidRPr="00972D65">
        <w:rPr>
          <w:rFonts w:ascii="Times New Roman" w:eastAsia="Times New Roman" w:hAnsi="Times New Roman" w:cs="Times New Roman"/>
          <w:kern w:val="0"/>
          <w:sz w:val="24"/>
          <w:szCs w:val="24"/>
          <w14:ligatures w14:val="none"/>
        </w:rPr>
        <w:t>addresses</w:t>
      </w:r>
      <w:proofErr w:type="gramEnd"/>
      <w:r w:rsidRPr="00972D65">
        <w:rPr>
          <w:rFonts w:ascii="Times New Roman" w:eastAsia="Times New Roman" w:hAnsi="Times New Roman" w:cs="Times New Roman"/>
          <w:kern w:val="0"/>
          <w:sz w:val="24"/>
          <w:szCs w:val="24"/>
          <w14:ligatures w14:val="none"/>
        </w:rPr>
        <w:t xml:space="preserve"> the per-adipocyte question.</w:t>
      </w:r>
    </w:p>
    <w:p w14:paraId="594D25E6"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i/>
          <w:iCs/>
          <w:kern w:val="0"/>
          <w:sz w:val="24"/>
          <w:szCs w:val="24"/>
          <w14:ligatures w14:val="none"/>
        </w:rPr>
        <w:t>Path B — Leverage existing public snRNA-seq adipose data.</w:t>
      </w:r>
      <w:r w:rsidRPr="00972D65">
        <w:rPr>
          <w:rFonts w:ascii="Times New Roman" w:eastAsia="Times New Roman" w:hAnsi="Times New Roman" w:cs="Times New Roman"/>
          <w:kern w:val="0"/>
          <w:sz w:val="24"/>
          <w:szCs w:val="24"/>
          <w14:ligatures w14:val="none"/>
        </w:rPr>
        <w:t xml:space="preserve"> The Emont atlas and related datasets (</w:t>
      </w:r>
      <w:proofErr w:type="spellStart"/>
      <w:r w:rsidRPr="00972D65">
        <w:rPr>
          <w:rFonts w:ascii="Times New Roman" w:eastAsia="Times New Roman" w:hAnsi="Times New Roman" w:cs="Times New Roman"/>
          <w:kern w:val="0"/>
          <w:sz w:val="24"/>
          <w:szCs w:val="24"/>
          <w14:ligatures w14:val="none"/>
        </w:rPr>
        <w:t>Bäckdahl</w:t>
      </w:r>
      <w:proofErr w:type="spellEnd"/>
      <w:r w:rsidRPr="00972D65">
        <w:rPr>
          <w:rFonts w:ascii="Times New Roman" w:eastAsia="Times New Roman" w:hAnsi="Times New Roman" w:cs="Times New Roman"/>
          <w:kern w:val="0"/>
          <w:sz w:val="24"/>
          <w:szCs w:val="24"/>
          <w14:ligatures w14:val="none"/>
        </w:rPr>
        <w:t xml:space="preserve"> et al., </w:t>
      </w:r>
      <w:proofErr w:type="spellStart"/>
      <w:r w:rsidRPr="00972D65">
        <w:rPr>
          <w:rFonts w:ascii="Times New Roman" w:eastAsia="Times New Roman" w:hAnsi="Times New Roman" w:cs="Times New Roman"/>
          <w:kern w:val="0"/>
          <w:sz w:val="24"/>
          <w:szCs w:val="24"/>
          <w14:ligatures w14:val="none"/>
        </w:rPr>
        <w:t>Raajbhandari</w:t>
      </w:r>
      <w:proofErr w:type="spellEnd"/>
      <w:r w:rsidRPr="00972D65">
        <w:rPr>
          <w:rFonts w:ascii="Times New Roman" w:eastAsia="Times New Roman" w:hAnsi="Times New Roman" w:cs="Times New Roman"/>
          <w:kern w:val="0"/>
          <w:sz w:val="24"/>
          <w:szCs w:val="24"/>
          <w14:ligatures w14:val="none"/>
        </w:rPr>
        <w:t xml:space="preserve">) have cell-type-resolved expression in human subcutaneous and visceral adipose. Even without menopause metadata, you can ask: do the </w:t>
      </w:r>
      <w:proofErr w:type="spellStart"/>
      <w:r w:rsidRPr="00972D65">
        <w:rPr>
          <w:rFonts w:ascii="Times New Roman" w:eastAsia="Times New Roman" w:hAnsi="Times New Roman" w:cs="Times New Roman"/>
          <w:kern w:val="0"/>
          <w:sz w:val="24"/>
          <w:szCs w:val="24"/>
          <w14:ligatures w14:val="none"/>
        </w:rPr>
        <w:t>lipolysis_core</w:t>
      </w:r>
      <w:proofErr w:type="spellEnd"/>
      <w:r w:rsidRPr="00972D65">
        <w:rPr>
          <w:rFonts w:ascii="Times New Roman" w:eastAsia="Times New Roman" w:hAnsi="Times New Roman" w:cs="Times New Roman"/>
          <w:kern w:val="0"/>
          <w:sz w:val="24"/>
          <w:szCs w:val="24"/>
          <w14:ligatures w14:val="none"/>
        </w:rPr>
        <w:t xml:space="preserve"> and </w:t>
      </w:r>
      <w:proofErr w:type="spellStart"/>
      <w:r w:rsidRPr="00972D65">
        <w:rPr>
          <w:rFonts w:ascii="Times New Roman" w:eastAsia="Times New Roman" w:hAnsi="Times New Roman" w:cs="Times New Roman"/>
          <w:kern w:val="0"/>
          <w:sz w:val="24"/>
          <w:szCs w:val="24"/>
          <w14:ligatures w14:val="none"/>
        </w:rPr>
        <w:t>thermogenesis_program</w:t>
      </w:r>
      <w:proofErr w:type="spellEnd"/>
      <w:r w:rsidRPr="00972D65">
        <w:rPr>
          <w:rFonts w:ascii="Times New Roman" w:eastAsia="Times New Roman" w:hAnsi="Times New Roman" w:cs="Times New Roman"/>
          <w:kern w:val="0"/>
          <w:sz w:val="24"/>
          <w:szCs w:val="24"/>
          <w14:ligatures w14:val="none"/>
        </w:rPr>
        <w:t xml:space="preserve"> genes show cell-type-specific expression predominantly in adipocytes? If yes, then a bulk signal change is more likely compositional. If those genes are broadly expressed across SVF cell types, the interpretation changes. This is a relatively quick analysis that contextualizes your bulk findings.</w:t>
      </w:r>
    </w:p>
    <w:p w14:paraId="7FB3BF9E"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i/>
          <w:iCs/>
          <w:kern w:val="0"/>
          <w:sz w:val="24"/>
          <w:szCs w:val="24"/>
          <w14:ligatures w14:val="none"/>
        </w:rPr>
        <w:t>Path C — Find snRNA-seq data with age/sex metadata.</w:t>
      </w:r>
      <w:r w:rsidRPr="00972D65">
        <w:rPr>
          <w:rFonts w:ascii="Times New Roman" w:eastAsia="Times New Roman" w:hAnsi="Times New Roman" w:cs="Times New Roman"/>
          <w:kern w:val="0"/>
          <w:sz w:val="24"/>
          <w:szCs w:val="24"/>
          <w14:ligatures w14:val="none"/>
        </w:rPr>
        <w:t xml:space="preserve"> This is harder but worth checking. The </w:t>
      </w:r>
      <w:proofErr w:type="spellStart"/>
      <w:r w:rsidRPr="00972D65">
        <w:rPr>
          <w:rFonts w:ascii="Times New Roman" w:eastAsia="Times New Roman" w:hAnsi="Times New Roman" w:cs="Times New Roman"/>
          <w:kern w:val="0"/>
          <w:sz w:val="24"/>
          <w:szCs w:val="24"/>
          <w14:ligatures w14:val="none"/>
        </w:rPr>
        <w:t>GTEx</w:t>
      </w:r>
      <w:proofErr w:type="spellEnd"/>
      <w:r w:rsidRPr="00972D65">
        <w:rPr>
          <w:rFonts w:ascii="Times New Roman" w:eastAsia="Times New Roman" w:hAnsi="Times New Roman" w:cs="Times New Roman"/>
          <w:kern w:val="0"/>
          <w:sz w:val="24"/>
          <w:szCs w:val="24"/>
          <w14:ligatures w14:val="none"/>
        </w:rPr>
        <w:t xml:space="preserve"> consortium has released some single-nucleus data, and there are emerging aging adipose datasets. If any have sufficient female samples spanning the menopause transition age range, even a small n would provide direct per-cell evidence.</w:t>
      </w:r>
    </w:p>
    <w:p w14:paraId="2DCB1326" w14:textId="77777777" w:rsidR="00972D65" w:rsidRPr="00972D65" w:rsidRDefault="00972D65" w:rsidP="00972D65">
      <w:pPr>
        <w:spacing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pict w14:anchorId="0F7D37E0">
          <v:rect id="_x0000_i1025" style="width:0;height:1.5pt" o:hralign="center" o:hrstd="t" o:hr="t" fillcolor="#a0a0a0" stroked="f"/>
        </w:pict>
      </w:r>
    </w:p>
    <w:p w14:paraId="62AA714B"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b/>
          <w:bCs/>
          <w:kern w:val="0"/>
          <w:sz w:val="24"/>
          <w:szCs w:val="24"/>
          <w:highlight w:val="yellow"/>
          <w14:ligatures w14:val="none"/>
        </w:rPr>
        <w:t xml:space="preserve">Issue 2: The </w:t>
      </w:r>
      <w:proofErr w:type="spellStart"/>
      <w:r w:rsidRPr="00972D65">
        <w:rPr>
          <w:rFonts w:ascii="Times New Roman" w:eastAsia="Times New Roman" w:hAnsi="Times New Roman" w:cs="Times New Roman"/>
          <w:b/>
          <w:bCs/>
          <w:kern w:val="0"/>
          <w:sz w:val="24"/>
          <w:szCs w:val="24"/>
          <w:highlight w:val="yellow"/>
          <w14:ligatures w14:val="none"/>
        </w:rPr>
        <w:t>lipolysis_core</w:t>
      </w:r>
      <w:proofErr w:type="spellEnd"/>
      <w:r w:rsidRPr="00972D65">
        <w:rPr>
          <w:rFonts w:ascii="Times New Roman" w:eastAsia="Times New Roman" w:hAnsi="Times New Roman" w:cs="Times New Roman"/>
          <w:b/>
          <w:bCs/>
          <w:kern w:val="0"/>
          <w:sz w:val="24"/>
          <w:szCs w:val="24"/>
          <w:highlight w:val="yellow"/>
          <w14:ligatures w14:val="none"/>
        </w:rPr>
        <w:t xml:space="preserve"> signal vanishing after composition adjustment</w:t>
      </w:r>
    </w:p>
    <w:p w14:paraId="3FC937F1"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t xml:space="preserve">This is </w:t>
      </w:r>
      <w:proofErr w:type="gramStart"/>
      <w:r w:rsidRPr="00972D65">
        <w:rPr>
          <w:rFonts w:ascii="Times New Roman" w:eastAsia="Times New Roman" w:hAnsi="Times New Roman" w:cs="Times New Roman"/>
          <w:kern w:val="0"/>
          <w:sz w:val="24"/>
          <w:szCs w:val="24"/>
          <w14:ligatures w14:val="none"/>
        </w:rPr>
        <w:t>actually an</w:t>
      </w:r>
      <w:proofErr w:type="gramEnd"/>
      <w:r w:rsidRPr="00972D65">
        <w:rPr>
          <w:rFonts w:ascii="Times New Roman" w:eastAsia="Times New Roman" w:hAnsi="Times New Roman" w:cs="Times New Roman"/>
          <w:kern w:val="0"/>
          <w:sz w:val="24"/>
          <w:szCs w:val="24"/>
          <w14:ligatures w14:val="none"/>
        </w:rPr>
        <w:t xml:space="preserve"> opportunity to reframe rather than a pure limitation. The scientific question becomes: </w:t>
      </w:r>
      <w:r w:rsidRPr="00972D65">
        <w:rPr>
          <w:rFonts w:ascii="Times New Roman" w:eastAsia="Times New Roman" w:hAnsi="Times New Roman" w:cs="Times New Roman"/>
          <w:i/>
          <w:iCs/>
          <w:kern w:val="0"/>
          <w:sz w:val="24"/>
          <w:szCs w:val="24"/>
          <w:highlight w:val="yellow"/>
          <w14:ligatures w14:val="none"/>
        </w:rPr>
        <w:t>why does adipocyte fraction (or adipocyte marker gene expression) decrease in peri/post subcutaneous adipose</w:t>
      </w:r>
      <w:r w:rsidRPr="00972D65">
        <w:rPr>
          <w:rFonts w:ascii="Times New Roman" w:eastAsia="Times New Roman" w:hAnsi="Times New Roman" w:cs="Times New Roman"/>
          <w:i/>
          <w:iCs/>
          <w:kern w:val="0"/>
          <w:sz w:val="24"/>
          <w:szCs w:val="24"/>
          <w14:ligatures w14:val="none"/>
        </w:rPr>
        <w:t>?</w:t>
      </w:r>
      <w:r w:rsidRPr="00972D65">
        <w:rPr>
          <w:rFonts w:ascii="Times New Roman" w:eastAsia="Times New Roman" w:hAnsi="Times New Roman" w:cs="Times New Roman"/>
          <w:kern w:val="0"/>
          <w:sz w:val="24"/>
          <w:szCs w:val="24"/>
          <w14:ligatures w14:val="none"/>
        </w:rPr>
        <w:t xml:space="preserve"> That is itself a meaningful biological finding. Subcutaneous adipose remodeling during menopause — increased fibrosis, immune infiltration, SVF expansion — is well-documented histologically. Your bulk data may be capturing exactly that remodeling process. So rather than saying "we can't interpret the lipolysis signal," you could say "the bulk data is consistent with subcutaneous adipose tissue remodeling across the menopause transition, which itself may impair lipolytic capacity independently of per-adipocyte transcriptional changes." That is a scientifically coherent and defensible claim.</w:t>
      </w:r>
    </w:p>
    <w:p w14:paraId="2573EF65"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t xml:space="preserve">To support this framing you would want to check whether the fibroblast/ECM proxy score (COL1A1/COL3A1/DCN) and macrophage proxy score </w:t>
      </w:r>
      <w:r w:rsidRPr="00972D65">
        <w:rPr>
          <w:rFonts w:ascii="Times New Roman" w:eastAsia="Times New Roman" w:hAnsi="Times New Roman" w:cs="Times New Roman"/>
          <w:i/>
          <w:iCs/>
          <w:kern w:val="0"/>
          <w:sz w:val="24"/>
          <w:szCs w:val="24"/>
          <w14:ligatures w14:val="none"/>
        </w:rPr>
        <w:t>increase</w:t>
      </w:r>
      <w:r w:rsidRPr="00972D65">
        <w:rPr>
          <w:rFonts w:ascii="Times New Roman" w:eastAsia="Times New Roman" w:hAnsi="Times New Roman" w:cs="Times New Roman"/>
          <w:kern w:val="0"/>
          <w:sz w:val="24"/>
          <w:szCs w:val="24"/>
          <w14:ligatures w14:val="none"/>
        </w:rPr>
        <w:t xml:space="preserve"> in peri/post — if the adipocyte </w:t>
      </w:r>
      <w:r w:rsidRPr="00972D65">
        <w:rPr>
          <w:rFonts w:ascii="Times New Roman" w:eastAsia="Times New Roman" w:hAnsi="Times New Roman" w:cs="Times New Roman"/>
          <w:kern w:val="0"/>
          <w:sz w:val="24"/>
          <w:szCs w:val="24"/>
          <w14:ligatures w14:val="none"/>
        </w:rPr>
        <w:lastRenderedPageBreak/>
        <w:t>proxy goes down and the fibrosis/immune proxies go up, that's a consistent remodeling signature in the bulk data, worth reporting as a finding in its own right.</w:t>
      </w:r>
    </w:p>
    <w:p w14:paraId="6BB3BD2C" w14:textId="77777777" w:rsidR="00972D65" w:rsidRPr="00972D65" w:rsidRDefault="00972D65" w:rsidP="00972D65">
      <w:pPr>
        <w:spacing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pict w14:anchorId="51D54B2A">
          <v:rect id="_x0000_i1026" style="width:0;height:1.5pt" o:hralign="center" o:hrstd="t" o:hr="t" fillcolor="#a0a0a0" stroked="f"/>
        </w:pict>
      </w:r>
    </w:p>
    <w:p w14:paraId="696D25C3"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b/>
          <w:bCs/>
          <w:kern w:val="0"/>
          <w:sz w:val="24"/>
          <w:szCs w:val="24"/>
          <w:highlight w:val="yellow"/>
          <w14:ligatures w14:val="none"/>
        </w:rPr>
        <w:t>Issue 3: Acute vs chronic SNS framing</w:t>
      </w:r>
    </w:p>
    <w:p w14:paraId="1B4E8F85"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972D65">
        <w:rPr>
          <w:rFonts w:ascii="Times New Roman" w:eastAsia="Times New Roman" w:hAnsi="Times New Roman" w:cs="Times New Roman"/>
          <w:kern w:val="0"/>
          <w:sz w:val="24"/>
          <w:szCs w:val="24"/>
          <w14:ligatures w14:val="none"/>
        </w:rPr>
        <w:t xml:space="preserve">This requires a conceptual reframing more than new analysis. The immediate-early genes (NR4A/FOS/JUN/EGR1) are the wrong readout for your hypothesis as stated. </w:t>
      </w:r>
      <w:r w:rsidRPr="00972D65">
        <w:rPr>
          <w:rFonts w:ascii="Times New Roman" w:eastAsia="Times New Roman" w:hAnsi="Times New Roman" w:cs="Times New Roman"/>
          <w:kern w:val="0"/>
          <w:sz w:val="24"/>
          <w:szCs w:val="24"/>
          <w:highlight w:val="yellow"/>
          <w14:ligatures w14:val="none"/>
        </w:rPr>
        <w:t>For chronic SNS adaptation the relevant molecular signatures are:</w:t>
      </w:r>
    </w:p>
    <w:p w14:paraId="2FE4A773" w14:textId="77777777" w:rsidR="00972D65" w:rsidRPr="00972D65" w:rsidRDefault="00972D65" w:rsidP="00972D65">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972D65">
        <w:rPr>
          <w:rFonts w:ascii="Times New Roman" w:eastAsia="Times New Roman" w:hAnsi="Times New Roman" w:cs="Times New Roman"/>
          <w:kern w:val="0"/>
          <w:sz w:val="24"/>
          <w:szCs w:val="24"/>
          <w:highlight w:val="yellow"/>
          <w14:ligatures w14:val="none"/>
        </w:rPr>
        <w:t>Receptor expression level: ADRB2 and ADRB3 downregulation is the canonical catecholamine resistance marker in adipose</w:t>
      </w:r>
    </w:p>
    <w:p w14:paraId="71F8C137" w14:textId="77777777" w:rsidR="00972D65" w:rsidRPr="00972D65" w:rsidRDefault="00972D65" w:rsidP="00972D65">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972D65">
        <w:rPr>
          <w:rFonts w:ascii="Times New Roman" w:eastAsia="Times New Roman" w:hAnsi="Times New Roman" w:cs="Times New Roman"/>
          <w:kern w:val="0"/>
          <w:sz w:val="24"/>
          <w:szCs w:val="24"/>
          <w:highlight w:val="yellow"/>
          <w14:ligatures w14:val="none"/>
        </w:rPr>
        <w:t>Negative feedback upregulation: PDE3B, PDE4D, RGS2, ARRB1/2, GRK2/5 — these are induced by chronic receptor stimulation and mediate desensitization</w:t>
      </w:r>
    </w:p>
    <w:p w14:paraId="6F193E08" w14:textId="77777777" w:rsidR="00972D65" w:rsidRPr="00972D65" w:rsidRDefault="00972D65" w:rsidP="00972D65">
      <w:pPr>
        <w:numPr>
          <w:ilvl w:val="0"/>
          <w:numId w:val="1"/>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proofErr w:type="gramStart"/>
      <w:r w:rsidRPr="00972D65">
        <w:rPr>
          <w:rFonts w:ascii="Times New Roman" w:eastAsia="Times New Roman" w:hAnsi="Times New Roman" w:cs="Times New Roman"/>
          <w:kern w:val="0"/>
          <w:sz w:val="24"/>
          <w:szCs w:val="24"/>
          <w:highlight w:val="yellow"/>
          <w14:ligatures w14:val="none"/>
        </w:rPr>
        <w:t>cAMP</w:t>
      </w:r>
      <w:proofErr w:type="gramEnd"/>
      <w:r w:rsidRPr="00972D65">
        <w:rPr>
          <w:rFonts w:ascii="Times New Roman" w:eastAsia="Times New Roman" w:hAnsi="Times New Roman" w:cs="Times New Roman"/>
          <w:kern w:val="0"/>
          <w:sz w:val="24"/>
          <w:szCs w:val="24"/>
          <w:highlight w:val="yellow"/>
          <w14:ligatures w14:val="none"/>
        </w:rPr>
        <w:t xml:space="preserve"> pathway remodeling: changes in ADCY/GNAS stoichiometry, PKA regulatory subunit shifts</w:t>
      </w:r>
    </w:p>
    <w:p w14:paraId="366DBE34"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t>Your adrenergic/cAMP modules on Slide 17 already capture most of this. The key move is to explicitly drop the acute IEG framing from the manuscript and lead instead with the chronic adaptation/catecholamine resistance framework from the start. The Slide 17 module results then become your primary SNS-relevant finding rather than a secondary sensitivity analysis.</w:t>
      </w:r>
    </w:p>
    <w:p w14:paraId="2B26B020"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t>A useful literature anchor here is the work on beta-adrenergic receptor downregulation in postmenopausal adipose (there are direct human studies showing reduced ADRB2 expression and blunted lipolytic response to catecholamines in postmenopausal vs premenopausal women). Framing your transcriptomic module results against that physiological backdrop makes the story much more coherent.</w:t>
      </w:r>
    </w:p>
    <w:p w14:paraId="063F904C" w14:textId="77777777" w:rsidR="00972D65" w:rsidRPr="00972D65" w:rsidRDefault="00972D65" w:rsidP="00972D65">
      <w:pPr>
        <w:spacing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pict w14:anchorId="7EB16C56">
          <v:rect id="_x0000_i1027" style="width:0;height:1.5pt" o:hralign="center" o:hrstd="t" o:hr="t" fillcolor="#a0a0a0" stroked="f"/>
        </w:pict>
      </w:r>
    </w:p>
    <w:p w14:paraId="4F8F70D3"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b/>
          <w:bCs/>
          <w:kern w:val="0"/>
          <w:sz w:val="24"/>
          <w:szCs w:val="24"/>
          <w14:ligatures w14:val="none"/>
        </w:rPr>
        <w:t xml:space="preserve">Issue 4: The </w:t>
      </w:r>
      <w:proofErr w:type="spellStart"/>
      <w:r w:rsidRPr="00972D65">
        <w:rPr>
          <w:rFonts w:ascii="Times New Roman" w:eastAsia="Times New Roman" w:hAnsi="Times New Roman" w:cs="Times New Roman"/>
          <w:b/>
          <w:bCs/>
          <w:kern w:val="0"/>
          <w:sz w:val="24"/>
          <w:szCs w:val="24"/>
          <w14:ligatures w14:val="none"/>
        </w:rPr>
        <w:t>senMayoLike</w:t>
      </w:r>
      <w:proofErr w:type="spellEnd"/>
      <w:r w:rsidRPr="00972D65">
        <w:rPr>
          <w:rFonts w:ascii="Times New Roman" w:eastAsia="Times New Roman" w:hAnsi="Times New Roman" w:cs="Times New Roman"/>
          <w:b/>
          <w:bCs/>
          <w:kern w:val="0"/>
          <w:sz w:val="24"/>
          <w:szCs w:val="24"/>
          <w14:ligatures w14:val="none"/>
        </w:rPr>
        <w:t xml:space="preserve"> v2 signature as your anchor</w:t>
      </w:r>
    </w:p>
    <w:p w14:paraId="4CE837DA"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t xml:space="preserve">This is </w:t>
      </w:r>
      <w:r w:rsidRPr="00972D65">
        <w:rPr>
          <w:rFonts w:ascii="Times New Roman" w:eastAsia="Times New Roman" w:hAnsi="Times New Roman" w:cs="Times New Roman"/>
          <w:kern w:val="0"/>
          <w:sz w:val="24"/>
          <w:szCs w:val="24"/>
          <w:highlight w:val="yellow"/>
          <w14:ligatures w14:val="none"/>
        </w:rPr>
        <w:t>currently your cleanest positive finding and probably deserves more prominence</w:t>
      </w:r>
      <w:r w:rsidRPr="00972D65">
        <w:rPr>
          <w:rFonts w:ascii="Times New Roman" w:eastAsia="Times New Roman" w:hAnsi="Times New Roman" w:cs="Times New Roman"/>
          <w:kern w:val="0"/>
          <w:sz w:val="24"/>
          <w:szCs w:val="24"/>
          <w14:ligatures w14:val="none"/>
        </w:rPr>
        <w:t xml:space="preserve">. A 13-gene curated signature that robustly separates menopause-proxy groups, survives composition and technical adjustment, and has gene-level literature evidence is a genuinely useful contribution. The </w:t>
      </w:r>
      <w:proofErr w:type="gramStart"/>
      <w:r w:rsidRPr="00972D65">
        <w:rPr>
          <w:rFonts w:ascii="Times New Roman" w:eastAsia="Times New Roman" w:hAnsi="Times New Roman" w:cs="Times New Roman"/>
          <w:kern w:val="0"/>
          <w:sz w:val="24"/>
          <w:szCs w:val="24"/>
          <w14:ligatures w14:val="none"/>
        </w:rPr>
        <w:t>scientific next</w:t>
      </w:r>
      <w:proofErr w:type="gramEnd"/>
      <w:r w:rsidRPr="00972D65">
        <w:rPr>
          <w:rFonts w:ascii="Times New Roman" w:eastAsia="Times New Roman" w:hAnsi="Times New Roman" w:cs="Times New Roman"/>
          <w:kern w:val="0"/>
          <w:sz w:val="24"/>
          <w:szCs w:val="24"/>
          <w14:ligatures w14:val="none"/>
        </w:rPr>
        <w:t xml:space="preserve"> step here would be to validate it in an independent dataset — even a small microarray cohort of pre vs postmenopausal women's adipose biopsies would serve as out-of-sample validation. </w:t>
      </w:r>
      <w:r w:rsidRPr="00972D65">
        <w:rPr>
          <w:rFonts w:ascii="Times New Roman" w:eastAsia="Times New Roman" w:hAnsi="Times New Roman" w:cs="Times New Roman"/>
          <w:kern w:val="0"/>
          <w:sz w:val="24"/>
          <w:szCs w:val="24"/>
          <w:highlight w:val="yellow"/>
          <w14:ligatures w14:val="none"/>
        </w:rPr>
        <w:t>GSE44000 is postmenopausal only so it can't do this, but there may be other GEO datasets worth checking</w:t>
      </w:r>
      <w:r w:rsidRPr="00972D65">
        <w:rPr>
          <w:rFonts w:ascii="Times New Roman" w:eastAsia="Times New Roman" w:hAnsi="Times New Roman" w:cs="Times New Roman"/>
          <w:kern w:val="0"/>
          <w:sz w:val="24"/>
          <w:szCs w:val="24"/>
          <w14:ligatures w14:val="none"/>
        </w:rPr>
        <w:t xml:space="preserve"> (GSE datasets from bariatric surgery cohorts often have age and sometimes menopause status).</w:t>
      </w:r>
    </w:p>
    <w:p w14:paraId="03B380F0" w14:textId="77777777" w:rsidR="00972D65" w:rsidRPr="00972D65" w:rsidRDefault="00972D65" w:rsidP="00972D65">
      <w:pPr>
        <w:spacing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pict w14:anchorId="77961686">
          <v:rect id="_x0000_i1028" style="width:0;height:1.5pt" o:hralign="center" o:hrstd="t" o:hr="t" fillcolor="#a0a0a0" stroked="f"/>
        </w:pict>
      </w:r>
    </w:p>
    <w:p w14:paraId="18662964"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b/>
          <w:bCs/>
          <w:kern w:val="0"/>
          <w:sz w:val="24"/>
          <w:szCs w:val="24"/>
          <w14:ligatures w14:val="none"/>
        </w:rPr>
        <w:t>Prioritization</w:t>
      </w:r>
    </w:p>
    <w:p w14:paraId="224EAFA1" w14:textId="77777777" w:rsidR="00972D65" w:rsidRPr="00972D65" w:rsidRDefault="00972D65" w:rsidP="00972D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2D65">
        <w:rPr>
          <w:rFonts w:ascii="Times New Roman" w:eastAsia="Times New Roman" w:hAnsi="Times New Roman" w:cs="Times New Roman"/>
          <w:kern w:val="0"/>
          <w:sz w:val="24"/>
          <w:szCs w:val="24"/>
          <w14:ligatures w14:val="none"/>
        </w:rPr>
        <w:lastRenderedPageBreak/>
        <w:t xml:space="preserve">If I were advising on where to invest effort first: running </w:t>
      </w:r>
      <w:proofErr w:type="spellStart"/>
      <w:r w:rsidRPr="00972D65">
        <w:rPr>
          <w:rFonts w:ascii="Times New Roman" w:eastAsia="Times New Roman" w:hAnsi="Times New Roman" w:cs="Times New Roman"/>
          <w:kern w:val="0"/>
          <w:sz w:val="24"/>
          <w:szCs w:val="24"/>
          <w14:ligatures w14:val="none"/>
        </w:rPr>
        <w:t>BayesPrism</w:t>
      </w:r>
      <w:proofErr w:type="spellEnd"/>
      <w:r w:rsidRPr="00972D65">
        <w:rPr>
          <w:rFonts w:ascii="Times New Roman" w:eastAsia="Times New Roman" w:hAnsi="Times New Roman" w:cs="Times New Roman"/>
          <w:kern w:val="0"/>
          <w:sz w:val="24"/>
          <w:szCs w:val="24"/>
          <w14:ligatures w14:val="none"/>
        </w:rPr>
        <w:t xml:space="preserve"> deconvolution on the existing </w:t>
      </w:r>
      <w:proofErr w:type="spellStart"/>
      <w:r w:rsidRPr="00972D65">
        <w:rPr>
          <w:rFonts w:ascii="Times New Roman" w:eastAsia="Times New Roman" w:hAnsi="Times New Roman" w:cs="Times New Roman"/>
          <w:kern w:val="0"/>
          <w:sz w:val="24"/>
          <w:szCs w:val="24"/>
          <w14:ligatures w14:val="none"/>
        </w:rPr>
        <w:t>GTEx</w:t>
      </w:r>
      <w:proofErr w:type="spellEnd"/>
      <w:r w:rsidRPr="00972D65">
        <w:rPr>
          <w:rFonts w:ascii="Times New Roman" w:eastAsia="Times New Roman" w:hAnsi="Times New Roman" w:cs="Times New Roman"/>
          <w:kern w:val="0"/>
          <w:sz w:val="24"/>
          <w:szCs w:val="24"/>
          <w14:ligatures w14:val="none"/>
        </w:rPr>
        <w:t xml:space="preserve"> data (Path A above) gives you the most interpretive leverage for the least new data collection, directly addresses the main compositional uncertainty, and would let you make much stronger claims about both the tissue remodeling story and the per-adipocyte question. Everything else builds on having that cleaner compositional picture.</w:t>
      </w:r>
    </w:p>
    <w:p w14:paraId="5B7E4362" w14:textId="77777777" w:rsidR="0097507F" w:rsidRDefault="0097507F"/>
    <w:sectPr w:rsidR="00975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DE6"/>
    <w:multiLevelType w:val="multilevel"/>
    <w:tmpl w:val="206E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328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80"/>
    <w:rsid w:val="00212FBF"/>
    <w:rsid w:val="00217616"/>
    <w:rsid w:val="00644A40"/>
    <w:rsid w:val="00762EE4"/>
    <w:rsid w:val="00972D65"/>
    <w:rsid w:val="0097507F"/>
    <w:rsid w:val="009E295A"/>
    <w:rsid w:val="00AE3D29"/>
    <w:rsid w:val="00AE7FB2"/>
    <w:rsid w:val="00DC72F3"/>
    <w:rsid w:val="00EB17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58927-6717-4887-B65E-4AD9FC00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heme="minorBidi"/>
        <w:kern w:val="2"/>
        <w:sz w:val="22"/>
        <w:szCs w:val="22"/>
        <w:lang w:val="en-US" w:eastAsia="ko-KR"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78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78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17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178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178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178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178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78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7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17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17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17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17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17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1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8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17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1780"/>
    <w:rPr>
      <w:i/>
      <w:iCs/>
      <w:color w:val="404040" w:themeColor="text1" w:themeTint="BF"/>
    </w:rPr>
  </w:style>
  <w:style w:type="paragraph" w:styleId="ListParagraph">
    <w:name w:val="List Paragraph"/>
    <w:basedOn w:val="Normal"/>
    <w:uiPriority w:val="34"/>
    <w:qFormat/>
    <w:rsid w:val="00EB1780"/>
    <w:pPr>
      <w:ind w:left="720"/>
      <w:contextualSpacing/>
    </w:pPr>
  </w:style>
  <w:style w:type="character" w:styleId="IntenseEmphasis">
    <w:name w:val="Intense Emphasis"/>
    <w:basedOn w:val="DefaultParagraphFont"/>
    <w:uiPriority w:val="21"/>
    <w:qFormat/>
    <w:rsid w:val="00EB1780"/>
    <w:rPr>
      <w:i/>
      <w:iCs/>
      <w:color w:val="0F4761" w:themeColor="accent1" w:themeShade="BF"/>
    </w:rPr>
  </w:style>
  <w:style w:type="paragraph" w:styleId="IntenseQuote">
    <w:name w:val="Intense Quote"/>
    <w:basedOn w:val="Normal"/>
    <w:next w:val="Normal"/>
    <w:link w:val="IntenseQuoteChar"/>
    <w:uiPriority w:val="30"/>
    <w:qFormat/>
    <w:rsid w:val="00EB1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780"/>
    <w:rPr>
      <w:i/>
      <w:iCs/>
      <w:color w:val="0F4761" w:themeColor="accent1" w:themeShade="BF"/>
    </w:rPr>
  </w:style>
  <w:style w:type="character" w:styleId="IntenseReference">
    <w:name w:val="Intense Reference"/>
    <w:basedOn w:val="DefaultParagraphFont"/>
    <w:uiPriority w:val="32"/>
    <w:qFormat/>
    <w:rsid w:val="00EB1780"/>
    <w:rPr>
      <w:b/>
      <w:bCs/>
      <w:smallCaps/>
      <w:color w:val="0F4761" w:themeColor="accent1" w:themeShade="BF"/>
      <w:spacing w:val="5"/>
    </w:rPr>
  </w:style>
  <w:style w:type="paragraph" w:customStyle="1" w:styleId="font-claude-response-body">
    <w:name w:val="font-claude-response-body"/>
    <w:basedOn w:val="Normal"/>
    <w:rsid w:val="00972D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72D65"/>
    <w:rPr>
      <w:b/>
      <w:bCs/>
    </w:rPr>
  </w:style>
  <w:style w:type="character" w:styleId="Emphasis">
    <w:name w:val="Emphasis"/>
    <w:basedOn w:val="DefaultParagraphFont"/>
    <w:uiPriority w:val="20"/>
    <w:qFormat/>
    <w:rsid w:val="00972D65"/>
    <w:rPr>
      <w:i/>
      <w:iCs/>
    </w:rPr>
  </w:style>
  <w:style w:type="paragraph" w:customStyle="1" w:styleId="whitespace-normal">
    <w:name w:val="whitespace-normal"/>
    <w:basedOn w:val="Normal"/>
    <w:rsid w:val="00972D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803</Words>
  <Characters>4933</Characters>
  <Application>Microsoft Office Word</Application>
  <DocSecurity>0</DocSecurity>
  <Lines>77</Lines>
  <Paragraphs>22</Paragraphs>
  <ScaleCrop>false</ScaleCrop>
  <Company>University of North Dakota</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 Junguk</dc:creator>
  <cp:keywords/>
  <dc:description/>
  <cp:lastModifiedBy>Hur, Junguk</cp:lastModifiedBy>
  <cp:revision>7</cp:revision>
  <dcterms:created xsi:type="dcterms:W3CDTF">2026-02-24T14:55:00Z</dcterms:created>
  <dcterms:modified xsi:type="dcterms:W3CDTF">2026-02-24T14:57:00Z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c35de895-9191-4449-bbc7-68fe55fb8dcf</vt:lpwstr>
  </property>
</Properties>
</file>