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D’après De Grœne Amsterdammer, cité par </w:t>
      </w:r>
      <w:r>
        <w:rPr>
          <w:i/>
        </w:rPr>
        <w:t xml:space="preserve">la Paix</w:t>
      </w:r>
      <w:r>
        <w:t xml:space="preserve"> </w:t>
      </w:r>
      <w:r>
        <w:br/>
      </w:r>
      <w:r>
        <w:rPr>
          <w:i/>
        </w:rPr>
        <w:t xml:space="preserve">civile.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