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A. MOLINIER, </w:t>
      </w:r>
      <w:r>
        <w:rPr>
          <w:i/>
        </w:rPr>
        <w:t xml:space="preserve">Les Sources de l’Histoire de France</w:t>
      </w:r>
      <w:r>
        <w:rPr/>
        <w:t xml:space="preserve">, t. III, Paris, 1903.</w:t>
      </w:r>
    </w:p>
  </w:footnote>
  <w:footnote w:id="2">
    <w:p>
      <w:pPr>
        <w:pStyle w:val="Notedebasdepage"/>
      </w:pPr>
      <w:r>
        <w:rPr>
          <w:rStyle w:val="Appelnotedebasdep"/>
        </w:rPr>
        <w:footnoteRef/>
        <w:t xml:space="preserve"> </w:t>
      </w:r>
      <w:r>
        <w:rPr/>
        <w:t xml:space="preserve">a) En décembre 1231 (</w:t>
      </w:r>
      <w:r>
        <w:rPr>
          <w:i/>
        </w:rPr>
        <w:t xml:space="preserve">Layettes du Trésor des Chartes</w:t>
      </w:r>
      <w:r>
        <w:rPr/>
        <w:t xml:space="preserve">, t. V, n° 360), saint Louis ordonne au concierge du Palais (qui était en même temps garde des Archives) de fournir à un personnage de l’entourage royal, maître Jean de la Cour, copie d’un traité conclu entre Louis VIII et le comte Ferrand de Flandre.</w:t>
      </w:r>
    </w:p>
    <w:p>
      <w:pPr>
        <w:pStyle w:val="Notedebasdepage"/>
      </w:pPr>
      <w:r>
        <w:rPr/>
        <w:t xml:space="preserve">b) Sous Philippe le Long (F. Delaborde, Introduction au t. V des </w:t>
      </w:r>
      <w:r>
        <w:rPr>
          <w:i/>
        </w:rPr>
        <w:t xml:space="preserve">Layettes du Trésor des Chartes</w:t>
      </w:r>
      <w:r>
        <w:rPr/>
        <w:t xml:space="preserve">, p. XLIII), Pierre d’Étampes, clerc du roi, a la garde des archives où il accomplit de gros travaux de copie et d’inventorisation. Nous possédons une lettre que lui fit écrire le bouteiller Henri de Sully : Ce soir même à l’heure des Vêpres, apportez à notre hôtel du Palais les privilèges de la cour de Rome qui autorisent le Roi à </w:t>
      </w:r>
      <w:r>
        <w:rPr>
          <w:rStyle w:val="quote"/>
        </w:rPr>
        <w:t xml:space="preserve">« faire prenre clers et les faire tenir sans encourre sentences »</w:t>
      </w:r>
      <w:r>
        <w:rPr/>
        <w:t xml:space="preserve"> et ce que vous trouverez du fait de Narbonne. Car le conseil s’assemblera à cette heure (Arch. Nat., J 476, n° 1 </w:t>
      </w:r>
      <w:r>
        <w:rPr>
          <w:vertAlign w:val="superscript"/>
        </w:rPr>
        <w:t>14</w:t>
      </w:r>
      <w:r>
        <w:rPr/>
        <w:t xml:space="preserve">).</w:t>
      </w:r>
    </w:p>
  </w:footnote>
  <w:footnote w:id="3">
    <w:p>
      <w:pPr>
        <w:pStyle w:val="Notedebasdepage"/>
      </w:pPr>
      <w:r>
        <w:rPr>
          <w:rStyle w:val="Appelnotedebasdep"/>
        </w:rPr>
        <w:footnoteRef/>
        <w:t xml:space="preserve"> </w:t>
      </w:r>
      <w:r>
        <w:rPr/>
        <w:t xml:space="preserve">Arch. nat., JJ 26.</w:t>
      </w:r>
    </w:p>
  </w:footnote>
  <w:footnote w:id="4">
    <w:p>
      <w:pPr>
        <w:pStyle w:val="Notedebasdepage"/>
      </w:pPr>
      <w:r>
        <w:rPr>
          <w:rStyle w:val="Appelnotedebasdep"/>
        </w:rPr>
        <w:footnoteRef/>
        <w:t xml:space="preserve"> </w:t>
      </w:r>
      <w:r>
        <w:rPr/>
        <w:t xml:space="preserve">Bibl. nat., ms. lat. 9778.</w:t>
      </w:r>
    </w:p>
  </w:footnote>
  <w:footnote w:id="5">
    <w:p>
      <w:pPr>
        <w:pStyle w:val="Notedebasdepage"/>
      </w:pPr>
      <w:r>
        <w:rPr>
          <w:rStyle w:val="Appelnotedebasdep"/>
        </w:rPr>
        <w:footnoteRef/>
        <w:t xml:space="preserve"> </w:t>
      </w:r>
      <w:r>
        <w:rPr/>
        <w:t xml:space="preserve"> Il existe plusieurs éditions de l’œuvre de Joinville. L’édition Natalis de Wailly, sous le titre : </w:t>
      </w:r>
      <w:r>
        <w:rPr>
          <w:i/>
        </w:rPr>
        <w:t xml:space="preserve">Jean</w:t>
      </w:r>
      <w:r>
        <w:rPr/>
        <w:t xml:space="preserve">, </w:t>
      </w:r>
      <w:r>
        <w:rPr>
          <w:i/>
        </w:rPr>
        <w:t xml:space="preserve">sire de Joinville, Histoire de saint Louis, Credo et Lettre à Louis X. Texte original accompagné d’une traduction</w:t>
      </w:r>
      <w:r>
        <w:rPr/>
        <w:t xml:space="preserve">, Paris, 1874, comporte, comme le titre l’indique, une traduction.</w:t>
      </w:r>
    </w:p>
  </w:footnote>
  <w:footnote w:id="6">
    <w:p>
      <w:pPr>
        <w:pStyle w:val="Notedebasdepage"/>
      </w:pPr>
      <w:r>
        <w:rPr>
          <w:rStyle w:val="Appelnotedebasdep"/>
        </w:rPr>
        <w:footnoteRef/>
        <w:t xml:space="preserve"> </w:t>
      </w:r>
      <w:r>
        <w:rPr>
          <w:i/>
        </w:rPr>
        <w:t xml:space="preserve">Le livre des saintes paroles et des bons faits de notre saint roi Louis, transcrit en français moderne</w:t>
      </w:r>
      <w:r>
        <w:rPr/>
        <w:t xml:space="preserve"> par André Mary, Paris, 1928, p. 45.</w:t>
      </w:r>
    </w:p>
  </w:footnote>
  <w:footnote w:id="7">
    <w:p>
      <w:pPr>
        <w:pStyle w:val="Notedebasdepage"/>
      </w:pPr>
      <w:r>
        <w:rPr>
          <w:rStyle w:val="Appelnotedebasdep"/>
        </w:rPr>
        <w:footnoteRef/>
        <w:t xml:space="preserve"> </w:t>
      </w:r>
      <w:r>
        <w:rPr>
          <w:i/>
        </w:rPr>
        <w:t xml:space="preserve">Ibid</w:t>
      </w:r>
      <w:r>
        <w:rPr/>
        <w:t xml:space="preserve">., p. 269.</w:t>
      </w:r>
    </w:p>
  </w:footnote>
  <w:footnote w:id="8">
    <w:p>
      <w:pPr>
        <w:pStyle w:val="Notedebasdepage"/>
      </w:pPr>
      <w:r>
        <w:rPr>
          <w:rStyle w:val="Appelnotedebasdep"/>
        </w:rPr>
        <w:footnoteRef/>
        <w:t xml:space="preserve"> </w:t>
      </w:r>
      <w:r>
        <w:rPr>
          <w:i/>
        </w:rPr>
        <w:t xml:space="preserve">Ibid</w:t>
      </w:r>
      <w:r>
        <w:rPr/>
        <w:t xml:space="preserve">., p. 156-157. </w:t>
      </w:r>
    </w:p>
  </w:footnote>
  <w:footnote w:id="9">
    <w:p>
      <w:pPr>
        <w:pStyle w:val="Notedebasdepage"/>
      </w:pPr>
      <w:r>
        <w:rPr>
          <w:rStyle w:val="Appelnotedebasdep"/>
        </w:rPr>
        <w:footnoteRef/>
        <w:t xml:space="preserve"> </w:t>
      </w:r>
      <w:r>
        <w:rPr>
          <w:i/>
        </w:rPr>
        <w:t xml:space="preserve">Ibid</w:t>
      </w:r>
      <w:r>
        <w:rPr/>
        <w:t xml:space="preserve">., p. 9.</w:t>
      </w:r>
    </w:p>
  </w:footnote>
  <w:footnote w:id="10">
    <w:p>
      <w:pPr>
        <w:pStyle w:val="Notedebasdepage"/>
      </w:pPr>
      <w:r>
        <w:rPr>
          <w:rStyle w:val="Appelnotedebasdep"/>
        </w:rPr>
        <w:footnoteRef/>
        <w:t xml:space="preserve"> </w:t>
      </w:r>
      <w:r>
        <w:rPr/>
        <w:t xml:space="preserve"> Voir G. PARIS, </w:t>
      </w:r>
      <w:r>
        <w:rPr>
          <w:i/>
        </w:rPr>
        <w:t xml:space="preserve">Histoire littéraire de la France</w:t>
      </w:r>
      <w:r>
        <w:rPr/>
        <w:t xml:space="preserve">, t. XXXII, Paris, 1898, p. 328-329. G. Paris est bien ennuyé de cette histoire-là et il se donne beaucoup de mal pour : p. 328 : </w:t>
      </w:r>
      <w:r>
        <w:rPr>
          <w:rStyle w:val="quote"/>
        </w:rPr>
        <w:t xml:space="preserve">« concilier... les conclusions qu’imposent des documents d’une authenticité inattaquable et la confiance due à un des plus beaux morceaux de notre littérature historique, lequel perdrait presque toute sa valeur s’il ne devait être considéré que comme un produit de l’amnésie sénile et de la vanité masquée sous un appel aux plus nobles inspirations de l’honneur et de la conscience »</w:t>
      </w:r>
      <w:r>
        <w:rPr/>
        <w:t xml:space="preserve">.</w:t>
      </w:r>
    </w:p>
  </w:footnote>
  <w:footnote w:id="11">
    <w:p>
      <w:pPr>
        <w:pStyle w:val="Notedebasdepage"/>
      </w:pPr>
      <w:r>
        <w:rPr>
          <w:rStyle w:val="Appelnotedebasdep"/>
        </w:rPr>
        <w:footnoteRef/>
        <w:t xml:space="preserve"> </w:t>
      </w:r>
      <w:r>
        <w:rPr/>
        <w:t xml:space="preserve">F. LOT, </w:t>
      </w:r>
      <w:r>
        <w:rPr>
          <w:i/>
        </w:rPr>
        <w:t xml:space="preserve">L’État des paroisses et des feux de 1328</w:t>
      </w:r>
      <w:r>
        <w:rPr/>
        <w:t xml:space="preserve">, dans </w:t>
      </w:r>
      <w:r>
        <w:rPr>
          <w:i/>
        </w:rPr>
        <w:t xml:space="preserve">Bibl. Éc. Chartes</w:t>
      </w:r>
      <w:r>
        <w:rPr/>
        <w:t xml:space="preserve">, 1929, t. XC, p. 51-107 et p. 256-315.</w:t>
      </w:r>
    </w:p>
  </w:footnote>
  <w:footnote w:id="12">
    <w:p>
      <w:pPr>
        <w:pStyle w:val="Notedebasdepage"/>
      </w:pPr>
      <w:r>
        <w:rPr>
          <w:rStyle w:val="Appelnotedebasdep"/>
        </w:rPr>
        <w:footnoteRef/>
        <w:t xml:space="preserve"> </w:t>
      </w:r>
      <w:r>
        <w:rPr/>
        <w:t xml:space="preserve"> LEFEBVRE DES NOETTES, </w:t>
      </w:r>
      <w:r>
        <w:rPr>
          <w:i/>
        </w:rPr>
        <w:t xml:space="preserve">L’attelage du cheval à travers les âges</w:t>
      </w:r>
      <w:r>
        <w:rPr/>
        <w:t xml:space="preserve">, 2 vol., Paris, 1931.</w:t>
      </w:r>
    </w:p>
  </w:footnote>
  <w:footnote w:id="13">
    <w:p>
      <w:pPr>
        <w:pStyle w:val="Notedebasdepage"/>
      </w:pPr>
      <w:r>
        <w:rPr>
          <w:rStyle w:val="Appelnotedebasdep"/>
        </w:rPr>
        <w:footnoteRef/>
        <w:t xml:space="preserve"> </w:t>
      </w:r>
      <w:r>
        <w:rPr/>
        <w:t xml:space="preserve"> LÉOPOLD DELISLE, </w:t>
      </w:r>
      <w:r>
        <w:rPr>
          <w:i/>
        </w:rPr>
        <w:t xml:space="preserve">Catalogue des actes de Philippe Auguste</w:t>
      </w:r>
      <w:r>
        <w:rPr/>
        <w:t xml:space="preserve">, Paris, 1856, n° 966, p. 222 et p. 510-511.</w:t>
      </w:r>
    </w:p>
  </w:footnote>
  <w:footnote w:id="14">
    <w:p>
      <w:pPr>
        <w:pStyle w:val="Notedebasdepage"/>
      </w:pPr>
      <w:r>
        <w:rPr>
          <w:rStyle w:val="Appelnotedebasdep"/>
        </w:rPr>
        <w:footnoteRef/>
        <w:t xml:space="preserve"> </w:t>
      </w:r>
      <w:r>
        <w:rPr/>
        <w:t xml:space="preserve">Bibliographie :</w:t>
      </w:r>
    </w:p>
    <w:p>
      <w:pPr>
        <w:pStyle w:val="Notedebasdepage"/>
      </w:pPr>
      <w:p>
        <w:pPr>
          <w:pStyle w:val=""/>
        </w:pPr>
        <w:r>
          <w:rPr/>
          <w:t xml:space="preserve">1° Les monographies des rois de France (de ceux qui ont eu un règne court !) :</w:t>
        </w:r>
      </w:p>
      <w:r>
        <w:rPr>
          <w:rStyle w:val="bibl-c"/>
        </w:rPr>
        <w:t>CH. PETIT-DUTAILLIS, Étude sur la vie et le règne de Louis VIII, Paris, 1894 ;</w:t>
      </w:r>
      <w:r>
        <w:rPr>
          <w:rStyle w:val="bibl-c"/>
        </w:rPr>
        <w:t>CH. V. LANGLOIS, Le règne de Philippe III le Hardi, Paris, 1887 ;</w:t>
      </w:r>
      <w:r>
        <w:rPr>
          <w:rStyle w:val="bibl-c"/>
        </w:rPr>
        <w:t>P. LEHUGEUR, Le règne de Philippe le Long, Paris, 1897 et Philippe le Long, roi de France. Le mécanisme du gouvernement, Paris 1931 ;</w:t>
      </w:r>
    </w:p>
    <w:p>
      <w:pPr>
        <w:pStyle w:val="Notedebasdepage"/>
      </w:pPr>
      <w:r>
        <w:rPr/>
        <w:t xml:space="preserve">Sur Philippe le Bel, livre en préparation de Kienast extrait de l’</w:t>
      </w:r>
      <w:r>
        <w:rPr>
          <w:i/>
        </w:rPr>
        <w:t xml:space="preserve">Historische Zeitschr</w:t>
      </w:r>
      <w:r>
        <w:rPr/>
        <w:t xml:space="preserve">, t. 148, 1933, sous le titre </w:t>
      </w:r>
      <w:r>
        <w:rPr>
          <w:rStyle w:val="title-c"/>
        </w:rPr>
        <w:t>Der fr. Staat in dreizehnten Jahrhundert</w:t>
      </w:r>
      <w:r>
        <w:rPr/>
        <w:t xml:space="preserve">.</w:t>
      </w:r>
    </w:p>
    <w:p>
      <w:pPr>
        <w:pStyle w:val="Notedebasdepage"/>
      </w:pPr>
      <w:p>
        <w:pPr>
          <w:pStyle w:val=""/>
        </w:pPr>
        <w:r>
          <w:rPr/>
          <w:t xml:space="preserve">2° Institutions :</w:t>
        </w:r>
      </w:p>
      <w:r>
        <w:rPr>
          <w:rStyle w:val="bibl-c"/>
        </w:rPr>
        <w:t>A. LUCHAIRE, Manuel des institutions françaises : période des Capétiens directs, Paris, 1892 (dépassé) ;</w:t>
      </w:r>
      <w:r>
        <w:rPr>
          <w:rStyle w:val="bibl-c"/>
        </w:rPr>
        <w:t>A. ESMEIN, Cours élémentaire d’histoire du droit français, 14e éd., 1921 ;</w:t>
      </w:r>
      <w:r>
        <w:rPr>
          <w:rStyle w:val="bibl-c"/>
        </w:rPr>
        <w:t>E. CHÉNON, Histoire générale du droit français, t. I, 1926, t. II, 1929.</w:t>
      </w:r>
      <w:r>
        <w:rPr>
          <w:rStyle w:val="bibl-c"/>
        </w:rPr>
        <w:t>P. VIOLLET, Histoire des institutions politiques et administratives de la France, 3 vol., Paris 1890-1903 ;</w:t>
      </w:r>
      <w:r>
        <w:rPr>
          <w:rStyle w:val="bibl-c"/>
        </w:rPr>
        <w:t>Quelques indications très sommaires et parfois sujettes à caution dans G. DUPONT-FERRIER, La formation de l’État français et l’unité française, Paris, 1929 (Coll. A. Colin).</w:t>
      </w:r>
    </w:p>
  </w:footnote>
  <w:footnote w:id="15">
    <w:p>
      <w:pPr>
        <w:pStyle w:val="Notedebasdepage"/>
      </w:pPr>
      <w:r>
        <w:rPr>
          <w:rStyle w:val="Appelnotedebasdep"/>
        </w:rPr>
        <w:footnoteRef/>
        <w:t xml:space="preserve"> </w:t>
      </w:r>
      <w:r>
        <w:rPr/>
        <w:t xml:space="preserve"> MATHIEU PARIS, </w:t>
      </w:r>
      <w:r>
        <w:rPr>
          <w:i/>
        </w:rPr>
        <w:t xml:space="preserve">Chronica majora</w:t>
      </w:r>
      <w:r>
        <w:rPr/>
        <w:t xml:space="preserve">, éd. F. LIEBERMANN, </w:t>
      </w:r>
      <w:r>
        <w:rPr>
          <w:i/>
        </w:rPr>
        <w:t xml:space="preserve">Monum. Germaniae</w:t>
      </w:r>
      <w:r>
        <w:rPr/>
        <w:t xml:space="preserve">, </w:t>
      </w:r>
      <w:r>
        <w:rPr>
          <w:i/>
        </w:rPr>
        <w:t xml:space="preserve">Scriptores</w:t>
      </w:r>
      <w:r>
        <w:rPr/>
        <w:t xml:space="preserve">, t. XXVIII, p. 181.</w:t>
      </w:r>
    </w:p>
  </w:footnote>
  <w:footnote w:id="16">
    <w:p>
      <w:pPr>
        <w:pStyle w:val="Notedebasdepage"/>
      </w:pPr>
      <w:r>
        <w:rPr>
          <w:rStyle w:val="Appelnotedebasdep"/>
        </w:rPr>
        <w:footnoteRef/>
        <w:t xml:space="preserve"> </w:t>
      </w:r>
      <w:r>
        <w:rPr/>
        <w:t xml:space="preserve"> P. VIOLLET, </w:t>
      </w:r>
      <w:r>
        <w:rPr>
          <w:i/>
        </w:rPr>
        <w:t xml:space="preserve">Comment les femmes ont été exclues en France de la succession à la couronne, Mém. Acad. Inscript</w:t>
      </w:r>
      <w:r>
        <w:rPr/>
        <w:t xml:space="preserve">., t. XXXIV, 2 (1893).</w:t>
      </w:r>
    </w:p>
  </w:footnote>
  <w:footnote w:id="17">
    <w:p>
      <w:pPr>
        <w:pStyle w:val="Notedebasdepage"/>
      </w:pPr>
      <w:r>
        <w:rPr>
          <w:rStyle w:val="Appelnotedebasdep"/>
        </w:rPr>
        <w:footnoteRef/>
        <w:t xml:space="preserve"> </w:t>
      </w:r>
      <w:r>
        <w:rPr/>
        <w:t xml:space="preserve"> J.-J. HISELY, </w:t>
      </w:r>
      <w:r>
        <w:rPr>
          <w:i/>
        </w:rPr>
        <w:t xml:space="preserve">Histoire du comté de Gruyère</w:t>
      </w:r>
      <w:r>
        <w:rPr/>
        <w:t xml:space="preserve">, Lausanne, 1851, t. I, p. 341. </w:t>
      </w:r>
      <w:r>
        <w:rPr>
          <w:i/>
        </w:rPr>
        <w:t xml:space="preserve">(Mémoires et documents publiés par la Société d’histoire de la Suisse romande</w:t>
      </w:r>
      <w:r>
        <w:rPr/>
        <w:t xml:space="preserve">, t. IX).</w:t>
      </w:r>
    </w:p>
  </w:footnote>
  <w:footnote w:id="18">
    <w:p>
      <w:pPr>
        <w:pStyle w:val="Notedebasdepage"/>
      </w:pPr>
      <w:r>
        <w:rPr>
          <w:rStyle w:val="Appelnotedebasdep"/>
        </w:rPr>
        <w:footnoteRef/>
        <w:t xml:space="preserve"> </w:t>
      </w:r>
      <w:r>
        <w:rPr/>
        <w:t xml:space="preserve"> SALIMBENE, </w:t>
      </w:r>
      <w:r>
        <w:rPr>
          <w:i/>
        </w:rPr>
        <w:t xml:space="preserve">Cronica</w:t>
      </w:r>
      <w:r>
        <w:rPr/>
        <w:t xml:space="preserve">, éd. Holder-Egger, </w:t>
      </w:r>
      <w:r>
        <w:rPr>
          <w:i/>
        </w:rPr>
        <w:t xml:space="preserve">Monumenta Germaniae, Scriptores</w:t>
      </w:r>
      <w:r>
        <w:rPr/>
        <w:t xml:space="preserve">, t. XXXII, p. 222.</w:t>
      </w:r>
    </w:p>
  </w:footnote>
  <w:footnote w:id="19">
    <w:p>
      <w:pPr>
        <w:pStyle w:val="Notedebasdepage"/>
      </w:pPr>
      <w:r>
        <w:rPr>
          <w:rStyle w:val="Appelnotedebasdep"/>
        </w:rPr>
        <w:footnoteRef/>
        <w:t xml:space="preserve"> </w:t>
      </w:r>
      <w:r>
        <w:rPr/>
        <w:t xml:space="preserve"> GUILLAUME DE SAINT-PATHUS, </w:t>
      </w:r>
      <w:r>
        <w:rPr>
          <w:i/>
        </w:rPr>
        <w:t xml:space="preserve">Vie de saint Louis</w:t>
      </w:r>
      <w:r>
        <w:rPr/>
        <w:t xml:space="preserve">, éd. H. F. Delaborde, coll. Picard, Paris, 1899, p. 118.</w:t>
      </w:r>
    </w:p>
  </w:footnote>
  <w:footnote w:id="20">
    <w:p>
      <w:pPr>
        <w:pStyle w:val="Notedebasdepage"/>
      </w:pPr>
      <w:r>
        <w:rPr>
          <w:rStyle w:val="Appelnotedebasdep"/>
        </w:rPr>
        <w:footnoteRef/>
        <w:t xml:space="preserve"> </w:t>
      </w:r>
      <w:r>
        <w:rPr/>
        <w:t xml:space="preserve"> JEAN DE SAINT VICTOR, dans </w:t>
      </w:r>
      <w:r>
        <w:rPr>
          <w:i/>
        </w:rPr>
        <w:t xml:space="preserve">Recueil des Historiens de la France</w:t>
      </w:r>
      <w:r>
        <w:rPr/>
        <w:t xml:space="preserve">, t. 21, p. 661 : </w:t>
      </w:r>
      <w:r>
        <w:rPr>
          <w:rStyle w:val="quote"/>
        </w:rPr>
        <w:t xml:space="preserve">« ... Ille enim quem tu regem Franciae reputas non est unctus adhuc nec coronatus, et ante hoc non debet rex nominari »</w:t>
      </w:r>
      <w:r>
        <w:rPr/>
        <w:t xml:space="preserve">.</w:t>
      </w:r>
    </w:p>
  </w:footnote>
  <w:footnote w:id="21">
    <w:p>
      <w:pPr>
        <w:pStyle w:val="Notedebasdepage"/>
      </w:pPr>
      <w:r>
        <w:rPr>
          <w:rStyle w:val="Appelnotedebasdep"/>
        </w:rPr>
        <w:footnoteRef/>
        <w:t xml:space="preserve"> </w:t>
      </w:r>
      <w:r>
        <w:rPr/>
        <w:t xml:space="preserve"> RICHIER, </w:t>
      </w:r>
      <w:r>
        <w:rPr>
          <w:i/>
        </w:rPr>
        <w:t xml:space="preserve">La vie de saint Rémi</w:t>
      </w:r>
      <w:r>
        <w:rPr/>
        <w:t xml:space="preserve">, 8143 et 8146-8, éd. W.N. Bolderston, Londres, 1912, p. 335.</w:t>
      </w:r>
    </w:p>
  </w:footnote>
  <w:footnote w:id="22">
    <w:p>
      <w:pPr>
        <w:pStyle w:val="Notedebasdepage"/>
      </w:pPr>
      <w:r>
        <w:rPr>
          <w:rStyle w:val="Appelnotedebasdep"/>
        </w:rPr>
        <w:footnoteRef/>
        <w:t xml:space="preserve"> </w:t>
      </w:r>
      <w:r>
        <w:rPr/>
        <w:t xml:space="preserve"> BEAUMANOIR, </w:t>
      </w:r>
      <w:r>
        <w:rPr>
          <w:i/>
        </w:rPr>
        <w:t xml:space="preserve">Coutumes de Beauvaisis</w:t>
      </w:r>
      <w:r>
        <w:rPr/>
        <w:t xml:space="preserve">, éd. Salmon, Paris, 1900, t. II, p. 264.</w:t>
      </w:r>
    </w:p>
  </w:footnote>
  <w:footnote w:id="23">
    <w:p>
      <w:pPr>
        <w:pStyle w:val="Notedebasdepage"/>
      </w:pPr>
      <w:r>
        <w:rPr>
          <w:rStyle w:val="Appelnotedebasdep"/>
        </w:rPr>
        <w:footnoteRef/>
        <w:t xml:space="preserve"> </w:t>
      </w:r>
      <w:r>
        <w:rPr/>
        <w:t xml:space="preserve"> Consulter à ce sujet : A. LONGNON, </w:t>
      </w:r>
      <w:r>
        <w:rPr>
          <w:i/>
        </w:rPr>
        <w:t xml:space="preserve">La formation de l’unité française</w:t>
      </w:r>
      <w:r>
        <w:rPr/>
        <w:t xml:space="preserve">, Paris, 1922. Titre trompeur ; recueil de renseignements commodes. — Y joindre l’</w:t>
      </w:r>
      <w:r>
        <w:rPr>
          <w:i/>
        </w:rPr>
        <w:t xml:space="preserve">Atlas historique</w:t>
      </w:r>
      <w:r>
        <w:rPr/>
        <w:t xml:space="preserve"> du même auteur, publié à partir de 1885. Avec le </w:t>
      </w:r>
      <w:r>
        <w:rPr>
          <w:i/>
        </w:rPr>
        <w:t xml:space="preserve">texte explicatif des planches</w:t>
      </w:r>
      <w:r>
        <w:rPr/>
        <w:t xml:space="preserve">.</w:t>
      </w:r>
    </w:p>
  </w:footnote>
  <w:footnote w:id="24">
    <w:p>
      <w:pPr>
        <w:pStyle w:val="Notedebasdepage"/>
      </w:pPr>
      <w:r>
        <w:rPr>
          <w:rStyle w:val="Appelnotedebasdep"/>
        </w:rPr>
        <w:footnoteRef/>
        <w:t xml:space="preserve"> </w:t>
      </w:r>
      <w:r>
        <w:rPr/>
        <w:t xml:space="preserve"> Sur la vente au comte d’Artois, </w:t>
      </w:r>
      <w:r>
        <w:rPr>
          <w:i/>
        </w:rPr>
        <w:t xml:space="preserve">Inventaire des Archives du Pas-de-Calais</w:t>
      </w:r>
      <w:r>
        <w:rPr/>
        <w:t xml:space="preserve">, série A, p. 43, col. 1.</w:t>
      </w:r>
    </w:p>
  </w:footnote>
  <w:footnote w:id="25">
    <w:p>
      <w:pPr>
        <w:pStyle w:val="Notedebasdepage"/>
      </w:pPr>
      <w:r>
        <w:rPr>
          <w:rStyle w:val="Appelnotedebasdep"/>
        </w:rPr>
        <w:footnoteRef/>
        <w:t xml:space="preserve"> </w:t>
      </w:r>
      <w:r>
        <w:rPr/>
        <w:t xml:space="preserve"> Pour la période 1259-1328 : E. DÉPREZ, </w:t>
      </w:r>
      <w:r>
        <w:rPr>
          <w:i/>
        </w:rPr>
        <w:t xml:space="preserve">Les préliminaires de la guerre de Cent Ans</w:t>
      </w:r>
      <w:r>
        <w:rPr/>
        <w:t xml:space="preserve">, Paris, 1902, chap. I. </w:t>
      </w:r>
      <w:r>
        <w:rPr>
          <w:i/>
        </w:rPr>
        <w:t xml:space="preserve">(Bibl. des écoles françaises d’Athènes et de Rome</w:t>
      </w:r>
      <w:r>
        <w:rPr/>
        <w:t xml:space="preserve">, fasc. 86).</w:t>
      </w:r>
    </w:p>
  </w:footnote>
  <w:footnote w:id="26">
    <w:p>
      <w:pPr>
        <w:pStyle w:val="Notedebasdepage"/>
      </w:pPr>
      <w:r>
        <w:rPr>
          <w:rStyle w:val="Appelnotedebasdep"/>
        </w:rPr>
        <w:footnoteRef/>
        <w:t xml:space="preserve"> </w:t>
      </w:r>
      <w:r>
        <w:rPr/>
        <w:t xml:space="preserve">JOINVILLE, éd. Natalis de Wailly, chap. CXXXVII, p. 458.</w:t>
      </w:r>
    </w:p>
  </w:footnote>
  <w:footnote w:id="27">
    <w:p>
      <w:pPr>
        <w:pStyle w:val="Notedebasdepage"/>
      </w:pPr>
      <w:r>
        <w:rPr>
          <w:rStyle w:val="Appelnotedebasdep"/>
        </w:rPr>
        <w:footnoteRef/>
        <w:t xml:space="preserve"> </w:t>
      </w:r>
      <w:r>
        <w:rPr/>
        <w:t xml:space="preserve"> Bibliographie sommaire. F KERN, </w:t>
      </w:r>
      <w:r>
        <w:rPr>
          <w:i/>
        </w:rPr>
        <w:t xml:space="preserve">Die Anfänge der franzäsischen Ausdehnungspolitik bis zum Jahre 1308</w:t>
      </w:r>
      <w:r>
        <w:rPr/>
        <w:t xml:space="preserve">, 1910. Les travaux de Gaston ZELLER, </w:t>
      </w:r>
      <w:r>
        <w:rPr>
          <w:i/>
        </w:rPr>
        <w:t xml:space="preserve">La réunion de Metz à la France</w:t>
      </w:r>
      <w:r>
        <w:rPr/>
        <w:t xml:space="preserve">, t. I, Strasbourg, 1926. Introduction — </w:t>
      </w:r>
      <w:r>
        <w:rPr>
          <w:i/>
        </w:rPr>
        <w:t xml:space="preserve">La France et l’Allemagne depuis dix siècles</w:t>
      </w:r>
      <w:r>
        <w:rPr/>
        <w:t xml:space="preserve">, Paris, 1932 (coll. A. Colin). </w:t>
      </w:r>
      <w:r>
        <w:rPr>
          <w:i/>
        </w:rPr>
        <w:t xml:space="preserve">Les rois de France candidats à l’Empire</w:t>
      </w:r>
      <w:r>
        <w:rPr/>
        <w:t xml:space="preserve">, dans </w:t>
      </w:r>
      <w:hyperlink r:id="ref1">
        <w:r>
          <w:rPr>
            <w:rStyle w:val="LienInternet"/>
            <w:i/>
          </w:rPr>
          <w:t xml:space="preserve">Revue historique</w:t>
        </w:r>
      </w:hyperlink>
      <w:r>
        <w:rPr/>
        <w:t xml:space="preserve">, t. 173,1934, p. 273-311, et 497-534. — E. BERGER, </w:t>
      </w:r>
      <w:r>
        <w:rPr>
          <w:i/>
        </w:rPr>
        <w:t xml:space="preserve">Saint Louis et Innocent IV</w:t>
      </w:r>
      <w:r>
        <w:rPr/>
        <w:t xml:space="preserve">, Paris, 1893 (en introduction aux Registres d’Innocent IV, t. I, Paris, 1884). — G. LIZERAND, </w:t>
      </w:r>
      <w:r>
        <w:rPr>
          <w:i/>
        </w:rPr>
        <w:t xml:space="preserve">Philippe le Bel et l’Empire au temps de Rodolphe de Habsbourg (1285-1291)</w:t>
      </w:r>
      <w:r>
        <w:rPr/>
        <w:t xml:space="preserve">, dans </w:t>
      </w:r>
      <w:hyperlink r:id="ref2">
        <w:r>
          <w:rPr>
            <w:rStyle w:val="LienInternet"/>
            <w:i/>
          </w:rPr>
          <w:t xml:space="preserve">Revue historique</w:t>
        </w:r>
      </w:hyperlink>
      <w:r>
        <w:rPr/>
        <w:t xml:space="preserve">, 1923, t. 142, pp. 161-191. — P. FOURNIER, </w:t>
      </w:r>
      <w:r>
        <w:rPr>
          <w:i/>
        </w:rPr>
        <w:t xml:space="preserve">Le royaume d’Arles et de Vienne (1138-1378). Étude sur la formation territoriale de la France dans l’Est et le Sud-Est</w:t>
      </w:r>
      <w:r>
        <w:rPr/>
        <w:t xml:space="preserve">, Paris, 1891.</w:t>
      </w:r>
    </w:p>
  </w:footnote>
  <w:footnote w:id="28">
    <w:p>
      <w:pPr>
        <w:pStyle w:val="Notedebasdepage"/>
      </w:pPr>
      <w:r>
        <w:rPr>
          <w:rStyle w:val="Appelnotedebasdep"/>
        </w:rPr>
        <w:footnoteRef/>
        <w:t xml:space="preserve"> </w:t>
      </w:r>
      <w:r>
        <w:rPr/>
        <w:t xml:space="preserve">Adam de la Halle a dit de lui : </w:t>
      </w:r>
      <w:r>
        <w:rPr>
          <w:rStyle w:val="quote"/>
        </w:rPr>
        <w:t xml:space="preserve">« Biaus chevaliers et grans et sage fu Manfrois. De toutes bonnes tèches entechiés et cortois. Et ne lui faloit riens fors que seulement fois. »</w:t>
      </w:r>
    </w:p>
  </w:footnote>
  <w:footnote w:id="29">
    <w:p>
      <w:pPr>
        <w:pStyle w:val="Notedebasdepage"/>
      </w:pPr>
      <w:r>
        <w:rPr>
          <w:rStyle w:val="Appelnotedebasdep"/>
        </w:rPr>
        <w:footnoteRef/>
        <w:t xml:space="preserve"> </w:t>
      </w:r>
      <w:r>
        <w:rPr/>
        <w:t xml:space="preserve"> E. JORDAN, </w:t>
      </w:r>
      <w:r>
        <w:rPr>
          <w:i/>
        </w:rPr>
        <w:t xml:space="preserve">Les origines de la domination angevine en Italie</w:t>
      </w:r>
      <w:r>
        <w:rPr/>
        <w:t xml:space="preserve">, Paris, 1909.</w:t>
      </w:r>
    </w:p>
  </w:footnote>
  <w:footnote w:id="30">
    <w:p>
      <w:pPr>
        <w:pStyle w:val="Notedebasdepage"/>
      </w:pPr>
      <w:r>
        <w:rPr>
          <w:rStyle w:val="Appelnotedebasdep"/>
        </w:rPr>
        <w:footnoteRef/>
        <w:t xml:space="preserve"> </w:t>
      </w:r>
      <w:r>
        <w:rPr/>
        <w:t xml:space="preserve"> Analyse commode sinon originale de J. RIVIÈRE, </w:t>
      </w:r>
      <w:r>
        <w:rPr>
          <w:i/>
        </w:rPr>
        <w:t xml:space="preserve">Le problème de l’Église et de l’État au temps de Philippe le Bel</w:t>
      </w:r>
      <w:r>
        <w:rPr/>
        <w:t xml:space="preserve">, Paris, 1926.</w:t>
      </w:r>
    </w:p>
  </w:footnote>
  <w:footnote w:id="31">
    <w:p>
      <w:pPr>
        <w:pStyle w:val="Notedebasdepage"/>
      </w:pPr>
      <w:r>
        <w:rPr>
          <w:rStyle w:val="Appelnotedebasdep"/>
        </w:rPr>
        <w:footnoteRef/>
        <w:t xml:space="preserve"> </w:t>
      </w:r>
      <w:r>
        <w:rPr/>
        <w:t xml:space="preserve"> L. PERRICHET, </w:t>
      </w:r>
      <w:r>
        <w:rPr>
          <w:i/>
        </w:rPr>
        <w:t xml:space="preserve">La grande chancellerie de France des origines à 1328</w:t>
      </w:r>
      <w:r>
        <w:rPr/>
        <w:t xml:space="preserve">, Paris, 1912.</w:t>
      </w:r>
    </w:p>
  </w:footnote>
  <w:footnote w:id="32">
    <w:p>
      <w:pPr>
        <w:pStyle w:val="Notedebasdepage"/>
      </w:pPr>
      <w:r>
        <w:rPr>
          <w:rStyle w:val="Appelnotedebasdep"/>
        </w:rPr>
        <w:footnoteRef/>
        <w:t xml:space="preserve"> </w:t>
      </w:r>
      <w:r>
        <w:rPr/>
        <w:t xml:space="preserve">Sous saint Louis, assemblée précédant la croisade d’Égypte ; sous Philippe III, assemblée précédant la croisade d’Aragon.</w:t>
      </w:r>
    </w:p>
  </w:footnote>
  <w:footnote w:id="33">
    <w:p>
      <w:pPr>
        <w:pStyle w:val="Notedebasdepage"/>
      </w:pPr>
      <w:r>
        <w:rPr>
          <w:rStyle w:val="Appelnotedebasdep"/>
        </w:rPr>
        <w:footnoteRef/>
        <w:t xml:space="preserve"> </w:t>
      </w:r>
      <w:r>
        <w:rPr/>
        <w:t xml:space="preserve"> Ch. V. LANGLOIS, </w:t>
      </w:r>
      <w:r>
        <w:rPr>
          <w:i/>
        </w:rPr>
        <w:t xml:space="preserve">Doléances recueillies par les Enquêteurs de saint Louis et des derniers Capétiens directs</w:t>
      </w:r>
      <w:r>
        <w:rPr/>
        <w:t xml:space="preserve">, dans </w:t>
      </w:r>
      <w:hyperlink r:id="ref3">
        <w:r>
          <w:rPr>
            <w:rStyle w:val="LienInternet"/>
            <w:i/>
          </w:rPr>
          <w:t xml:space="preserve">Revue historique</w:t>
        </w:r>
      </w:hyperlink>
      <w:r>
        <w:rPr/>
        <w:t xml:space="preserve">, t. 92 (1906), p. 1-41.</w:t>
      </w:r>
    </w:p>
  </w:footnote>
  <w:footnote w:id="34">
    <w:p>
      <w:pPr>
        <w:pStyle w:val="Notedebasdepage"/>
      </w:pPr>
      <w:r>
        <w:rPr>
          <w:rStyle w:val="Appelnotedebasdep"/>
        </w:rPr>
        <w:footnoteRef/>
        <w:t xml:space="preserve"> </w:t>
      </w:r>
      <w:r>
        <w:rPr/>
        <w:t xml:space="preserve"> Cf. renseignements utiles dans CHÉNON, </w:t>
      </w:r>
      <w:r>
        <w:rPr>
          <w:i/>
        </w:rPr>
        <w:t xml:space="preserve">Histoire générale du droit français public et privé</w:t>
      </w:r>
      <w:r>
        <w:rPr/>
        <w:t xml:space="preserve">, 2 vol., Paris, 1926-1929.</w:t>
      </w:r>
    </w:p>
  </w:footnote>
  <w:footnote w:id="35">
    <w:p>
      <w:pPr>
        <w:pStyle w:val="Notedebasdepage"/>
      </w:pPr>
      <w:r>
        <w:rPr>
          <w:rStyle w:val="Appelnotedebasdep"/>
        </w:rPr>
        <w:footnoteRef/>
        <w:t xml:space="preserve"> </w:t>
      </w:r>
      <w:r>
        <w:rPr/>
        <w:t xml:space="preserve"> Séances du Parlement, tenues en dehors de Paris au XIV</w:t>
      </w:r>
      <w:r>
        <w:rPr>
          <w:vertAlign w:val="superscript"/>
        </w:rPr>
        <w:t>e</w:t>
      </w:r>
      <w:r>
        <w:rPr/>
        <w:t xml:space="preserve"> siècle : Vincennes, 1304 ; Cachan, 1308-1309 ; Pontoise, 1310-1311 ; Poissy, 1312 ; Orléans, 1325.</w:t>
      </w:r>
    </w:p>
  </w:footnote>
  <w:footnote w:id="36">
    <w:p>
      <w:pPr>
        <w:pStyle w:val="Notedebasdepage"/>
      </w:pPr>
      <w:r>
        <w:rPr>
          <w:rStyle w:val="Appelnotedebasdep"/>
        </w:rPr>
        <w:footnoteRef/>
        <w:t xml:space="preserve"> </w:t>
      </w:r>
      <w:r>
        <w:rPr/>
        <w:t xml:space="preserve"> André ARTONNE, </w:t>
      </w:r>
      <w:r>
        <w:rPr>
          <w:i/>
        </w:rPr>
        <w:t xml:space="preserve">Le mouvement de 1314 et les Chartes provinciales de 1315</w:t>
      </w:r>
      <w:r>
        <w:rPr/>
        <w:t xml:space="preserve">, dans </w:t>
      </w:r>
      <w:r>
        <w:rPr>
          <w:i/>
        </w:rPr>
        <w:t xml:space="preserve">Bibliothèque de la Faculté des Lettres de Paris</w:t>
      </w:r>
      <w:r>
        <w:rPr/>
        <w:t xml:space="preserve">, t. XXIX, Paris, 1912.</w:t>
      </w:r>
    </w:p>
  </w:footnote>
  <w:footnote w:id="37">
    <w:p>
      <w:pPr>
        <w:pStyle w:val="Notedebasdepage"/>
      </w:pPr>
      <w:r>
        <w:rPr>
          <w:rStyle w:val="Appelnotedebasdep"/>
        </w:rPr>
        <w:footnoteRef/>
        <w:t xml:space="preserve"> </w:t>
      </w:r>
      <w:r>
        <w:rPr/>
        <w:t xml:space="preserve"> Conon de Lausanne, </w:t>
      </w:r>
      <w:r>
        <w:rPr>
          <w:i/>
        </w:rPr>
        <w:t xml:space="preserve">Notae</w:t>
      </w:r>
      <w:r>
        <w:rPr/>
        <w:t xml:space="preserve">, éd. Waitz, </w:t>
      </w:r>
      <w:r>
        <w:rPr>
          <w:i/>
        </w:rPr>
        <w:t xml:space="preserve">Monumenta Germaniae, Scriptores</w:t>
      </w:r>
      <w:r>
        <w:rPr/>
        <w:t xml:space="preserve">, t. XXIV, p. 783.</w:t>
      </w:r>
    </w:p>
  </w:footnote>
  <w:footnote w:id="38">
    <w:p>
      <w:pPr>
        <w:pStyle w:val="Notedebasdepage"/>
      </w:pPr>
      <w:r>
        <w:rPr>
          <w:rStyle w:val="Appelnotedebasdep"/>
        </w:rPr>
        <w:footnoteRef/>
        <w:t xml:space="preserve"> </w:t>
      </w:r>
      <w:r>
        <w:rPr/>
        <w:t xml:space="preserve"> Voir J. RIVIÈRE, </w:t>
      </w:r>
      <w:r>
        <w:rPr>
          <w:i/>
        </w:rPr>
        <w:t xml:space="preserve">Le problème de l’Église et de l’État sous Philippe le Bel</w:t>
      </w:r>
      <w:r>
        <w:rPr/>
        <w:t xml:space="preserve">, Paris, 1926.</w:t>
      </w:r>
    </w:p>
  </w:footnote>
  <w:footnote w:id="39">
    <w:p>
      <w:pPr>
        <w:pStyle w:val="Notedebasdepage"/>
      </w:pPr>
      <w:r>
        <w:rPr>
          <w:rStyle w:val="Appelnotedebasdep"/>
        </w:rPr>
        <w:footnoteRef/>
        <w:t xml:space="preserve"> </w:t>
      </w:r>
      <w:r>
        <w:rPr/>
        <w:t xml:space="preserve">Bernard Saisset, abbé de Saint-Antonin de Pamiers, avait été premier évêque du nouveau diocèse créé par Boniface VIII (qui le connaissait) en 1295.</w:t>
      </w:r>
    </w:p>
  </w:footnote>
  <w:footnote w:id="40">
    <w:p>
      <w:pPr>
        <w:pStyle w:val="Notedebasdepage"/>
      </w:pPr>
      <w:r>
        <w:rPr>
          <w:rStyle w:val="Appelnotedebasdep"/>
        </w:rPr>
        <w:footnoteRef/>
        <w:t xml:space="preserve"> </w:t>
      </w:r>
      <w:r>
        <w:rPr/>
        <w:t xml:space="preserve"> LIZERAND, </w:t>
      </w:r>
      <w:r>
        <w:rPr>
          <w:i/>
        </w:rPr>
        <w:t xml:space="preserve">Le dossier de l’affaire des Templiers</w:t>
      </w:r>
      <w:r>
        <w:rPr/>
        <w:t xml:space="preserve"> (Les Classiques de l’Histoire de France au Moyen âge), Paris, 1923.</w:t>
      </w:r>
    </w:p>
  </w:footnote>
  <w:footnote w:id="41">
    <w:p>
      <w:pPr>
        <w:pStyle w:val="Notedebasdepage"/>
      </w:pPr>
      <w:r>
        <w:rPr>
          <w:rStyle w:val="Appelnotedebasdep"/>
        </w:rPr>
        <w:footnoteRef/>
        <w:t xml:space="preserve"> </w:t>
      </w:r>
      <w:r>
        <w:rPr/>
        <w:t xml:space="preserve"> Voir Ch. V. LANGLOIS, </w:t>
      </w:r>
      <w:r>
        <w:rPr>
          <w:i/>
        </w:rPr>
        <w:t xml:space="preserve">Le procès des Templiers</w:t>
      </w:r>
      <w:r>
        <w:rPr/>
        <w:t xml:space="preserve">, dans </w:t>
      </w:r>
      <w:hyperlink r:id="ref4">
        <w:r>
          <w:rPr>
            <w:rStyle w:val="LienInternet"/>
            <w:i/>
          </w:rPr>
          <w:t xml:space="preserve">Revue des Deux Mondes</w:t>
        </w:r>
      </w:hyperlink>
      <w:r>
        <w:rPr/>
        <w:t xml:space="preserve">, t. 103, 1891, p. 382-421. — Id., </w:t>
      </w:r>
      <w:r>
        <w:rPr>
          <w:i/>
        </w:rPr>
        <w:t xml:space="preserve">L’Affaire des Templiers</w:t>
      </w:r>
      <w:r>
        <w:rPr/>
        <w:t xml:space="preserve">, dans </w:t>
      </w:r>
      <w:hyperlink r:id="ref5">
        <w:r>
          <w:rPr>
            <w:rStyle w:val="LienInternet"/>
            <w:i/>
          </w:rPr>
          <w:t xml:space="preserve">Journal des Savants</w:t>
        </w:r>
      </w:hyperlink>
      <w:r>
        <w:rPr/>
        <w:t xml:space="preserve">, 1908, p. 417-435. — S. REINACH, </w:t>
      </w:r>
      <w:r>
        <w:rPr>
          <w:i/>
        </w:rPr>
        <w:t xml:space="preserve">Cultes, mythes et religions</w:t>
      </w:r>
      <w:r>
        <w:rPr/>
        <w:t xml:space="preserve">, t. IV, Paris, 1912, p. 252-3.</w:t>
      </w:r>
    </w:p>
  </w:footnote>
  <w:footnote w:id="42">
    <w:p>
      <w:pPr>
        <w:pStyle w:val="Notedebasdepage"/>
      </w:pPr>
      <w:r>
        <w:rPr>
          <w:rStyle w:val="Appelnotedebasdep"/>
        </w:rPr>
        <w:footnoteRef/>
        <w:t xml:space="preserve"> </w:t>
      </w:r>
      <w:r>
        <w:rPr/>
        <w:t xml:space="preserve">Cette présentation de l’affaire des Templiers est inachevée dans le manuscrit de Marc Bloch.</w:t>
      </w:r>
    </w:p>
  </w:footnote>
  <w:footnote w:id="43">
    <w:p>
      <w:pPr>
        <w:pStyle w:val="Notedebasdepage"/>
      </w:pPr>
      <w:r>
        <w:rPr>
          <w:rStyle w:val="Appelnotedebasdep"/>
        </w:rPr>
        <w:footnoteRef/>
        <w:t xml:space="preserve"> </w:t>
      </w:r>
      <w:r>
        <w:rPr/>
        <w:t xml:space="preserve"> Voir H. SÉE, </w:t>
      </w:r>
      <w:r>
        <w:rPr>
          <w:i/>
        </w:rPr>
        <w:t xml:space="preserve">Les classes rurales et le régime domanial en France au Moyen âge</w:t>
      </w:r>
      <w:r>
        <w:rPr/>
        <w:t xml:space="preserve">, Paris, 1901. Marc BLOCH, </w:t>
      </w:r>
      <w:r>
        <w:rPr>
          <w:i/>
        </w:rPr>
        <w:t xml:space="preserve">Caractères originaux de l’histoire rurale française</w:t>
      </w:r>
      <w:r>
        <w:rPr/>
        <w:t xml:space="preserve">, Paris, 1931.</w:t>
      </w:r>
    </w:p>
  </w:footnote>
  <w:footnote w:id="44">
    <w:p>
      <w:pPr>
        <w:pStyle w:val="Notedebasdepage"/>
      </w:pPr>
      <w:r>
        <w:rPr>
          <w:rStyle w:val="Appelnotedebasdep"/>
        </w:rPr>
        <w:footnoteRef/>
        <w:t xml:space="preserve"> </w:t>
      </w:r>
      <w:r>
        <w:rPr/>
        <w:t xml:space="preserve"> Voir Marc BLOCH, </w:t>
      </w:r>
      <w:r>
        <w:rPr>
          <w:i/>
        </w:rPr>
        <w:t xml:space="preserve">Liberté et servitude personnelles au Moyen âge, particulièrenient en France. Contribution à une étude des classes</w:t>
      </w:r>
      <w:r>
        <w:rPr/>
        <w:t xml:space="preserve">, dans </w:t>
      </w:r>
      <w:r>
        <w:rPr>
          <w:i/>
        </w:rPr>
        <w:t xml:space="preserve">Anuario de historia del Derecho español</w:t>
      </w:r>
      <w:r>
        <w:rPr/>
        <w:t xml:space="preserve">, 1933, p. 19-115.</w:t>
      </w:r>
    </w:p>
  </w:footnote>
  <w:footnote w:id="45">
    <w:p>
      <w:pPr>
        <w:pStyle w:val="Notedebasdepage"/>
      </w:pPr>
      <w:r>
        <w:rPr>
          <w:rStyle w:val="Appelnotedebasdep"/>
        </w:rPr>
        <w:footnoteRef/>
        <w:t xml:space="preserve"> </w:t>
      </w:r>
      <w:r>
        <w:rPr/>
        <w:t xml:space="preserve"> M. BLOCH, </w:t>
      </w:r>
      <w:r>
        <w:rPr>
          <w:i/>
        </w:rPr>
        <w:t xml:space="preserve">Rois et serfs</w:t>
      </w:r>
      <w:r>
        <w:rPr/>
        <w:t xml:space="preserve">, p. 154. </w:t>
      </w:r>
    </w:p>
  </w:footnote>
  <w:footnote w:id="46">
    <w:p>
      <w:pPr>
        <w:pStyle w:val="Notedebasdepage"/>
      </w:pPr>
      <w:r>
        <w:rPr>
          <w:rStyle w:val="Appelnotedebasdep"/>
        </w:rPr>
        <w:footnoteRef/>
        <w:t xml:space="preserve"> </w:t>
      </w:r>
      <w:r>
        <w:rPr>
          <w:i/>
        </w:rPr>
        <w:t xml:space="preserve">Ibid.</w:t>
      </w:r>
      <w:r>
        <w:rPr/>
        <w:t xml:space="preserve">, p. 132.</w:t>
      </w:r>
    </w:p>
  </w:footnote>
  <w:footnote w:id="47">
    <w:p>
      <w:pPr>
        <w:pStyle w:val="Notedebasdepage"/>
      </w:pPr>
      <w:r>
        <w:rPr>
          <w:rStyle w:val="Appelnotedebasdep"/>
        </w:rPr>
        <w:footnoteRef/>
        <w:t xml:space="preserve"> </w:t>
      </w:r>
      <w:r>
        <w:rPr/>
        <w:t xml:space="preserve"> Voir LANGLOIS, </w:t>
      </w:r>
      <w:r>
        <w:rPr>
          <w:i/>
        </w:rPr>
        <w:t xml:space="preserve">Les origines de la noblesse en France</w:t>
      </w:r>
      <w:r>
        <w:rPr/>
        <w:t xml:space="preserve">, dans </w:t>
      </w:r>
      <w:hyperlink r:id="ref6">
        <w:r>
          <w:rPr>
            <w:rStyle w:val="LienInternet"/>
            <w:i/>
          </w:rPr>
          <w:t xml:space="preserve">Revue de Paris</w:t>
        </w:r>
      </w:hyperlink>
      <w:r>
        <w:rPr/>
        <w:t xml:space="preserve">, 1902, t. 5. p. 818-851.</w:t>
      </w:r>
    </w:p>
  </w:footnote>
  <w:footnote w:id="48">
    <w:p>
      <w:pPr>
        <w:pStyle w:val="Notedebasdepage"/>
      </w:pPr>
      <w:r>
        <w:rPr>
          <w:rStyle w:val="Appelnotedebasdep"/>
        </w:rPr>
        <w:footnoteRef/>
        <w:t xml:space="preserve"> </w:t>
      </w:r>
      <w:r>
        <w:rPr>
          <w:i/>
        </w:rPr>
        <w:t xml:space="preserve">Recueil des Historiens de la France</w:t>
      </w:r>
      <w:r>
        <w:rPr/>
        <w:t xml:space="preserve">, t. XXIV, Paris, 1904, 1</w:t>
      </w:r>
      <w:r>
        <w:rPr>
          <w:vertAlign w:val="superscript"/>
        </w:rPr>
        <w:t>re</w:t>
      </w:r>
      <w:r>
        <w:rPr/>
        <w:t xml:space="preserve"> partie, p. 100.</w:t>
      </w:r>
    </w:p>
  </w:footnote>
  <w:footnote w:id="49">
    <w:p>
      <w:pPr>
        <w:pStyle w:val="Notedebasdepage"/>
      </w:pPr>
      <w:r>
        <w:rPr>
          <w:rStyle w:val="Appelnotedebasdep"/>
        </w:rPr>
        <w:footnoteRef/>
        <w:t xml:space="preserve"> </w:t>
      </w:r>
      <w:r>
        <w:rPr/>
        <w:t xml:space="preserve">[Une page du manuscrit manque, soit une partie des paragraphes a) et b)]</w:t>
      </w:r>
    </w:p>
  </w:footnote>
  <w:footnote w:id="50">
    <w:p>
      <w:pPr>
        <w:pStyle w:val=""/>
      </w:pPr>
      <w:r>
        <w:rPr/>
        <w:t xml:space="preserve">Bibliographie</w:t>
      </w:r>
    </w:p>
    <w:p>
      <w:pPr>
        <w:pStyle w:val="Paragraphedeliste"/>
        <w:numPr>
          <w:ilvl w:val="0"/>
          <w:numId w:val="3"/>
        </w:numPr>
      </w:pPr>
      <w:r>
        <w:rPr/>
        <w:t xml:space="preserve">H. PIRENNE, </w:t>
      </w:r>
      <w:r>
        <w:rPr>
          <w:i/>
        </w:rPr>
        <w:t xml:space="preserve">Les villes du Moyen âge. Essai d’histoire économique et sociale</w:t>
      </w:r>
      <w:r>
        <w:rPr/>
        <w:t xml:space="preserve">, Bruxelles, 1927.</w:t>
      </w:r>
    </w:p>
    <w:p>
      <w:pPr>
        <w:pStyle w:val="Paragraphedeliste"/>
        <w:numPr>
          <w:ilvl w:val="0"/>
          <w:numId w:val="3"/>
        </w:numPr>
      </w:pPr>
      <w:r>
        <w:rPr/>
        <w:t xml:space="preserve">A. LUCHAIRE, </w:t>
      </w:r>
      <w:r>
        <w:rPr>
          <w:i/>
        </w:rPr>
        <w:t xml:space="preserve">Les communes françaises à l’époque des Capétiens directs</w:t>
      </w:r>
      <w:r>
        <w:rPr/>
        <w:t xml:space="preserve">, 2</w:t>
      </w:r>
      <w:r>
        <w:rPr>
          <w:vertAlign w:val="superscript"/>
        </w:rPr>
        <w:t>e</w:t>
      </w:r>
      <w:r>
        <w:rPr/>
        <w:t xml:space="preserve"> édition, Paris, 1911 (dans l’Introduction, par L. Halphen, utiles indications bibliographiques).</w:t>
      </w:r>
    </w:p>
    <w:p>
      <w:pPr>
        <w:pStyle w:val="Paragraphedeliste"/>
        <w:numPr>
          <w:ilvl w:val="0"/>
          <w:numId w:val="3"/>
        </w:numPr>
      </w:pPr>
      <w:r>
        <w:rPr/>
        <w:t xml:space="preserve">P. VIOLLET, </w:t>
      </w:r>
      <w:r>
        <w:rPr>
          <w:i/>
        </w:rPr>
        <w:t xml:space="preserve">Les communes françaises au Moyen âge</w:t>
      </w:r>
      <w:r>
        <w:rPr/>
        <w:t xml:space="preserve">, dans </w:t>
      </w:r>
      <w:r>
        <w:rPr>
          <w:i/>
        </w:rPr>
        <w:t xml:space="preserve">Mémoires de l’Académie des Inscriptions</w:t>
      </w:r>
      <w:r>
        <w:rPr/>
        <w:t xml:space="preserve">, t. XXXVI, reproduit à peu près dans </w:t>
      </w:r>
      <w:r>
        <w:rPr>
          <w:i/>
        </w:rPr>
        <w:t xml:space="preserve">Histoire des Institutions politiques et administratives de la France</w:t>
      </w:r>
      <w:r>
        <w:rPr/>
        <w:t xml:space="preserve">, t. III.</w:t>
      </w:r>
    </w:p>
    <w:p>
      <w:pPr>
        <w:pStyle w:val="Paragraphedeliste"/>
        <w:numPr>
          <w:ilvl w:val="0"/>
          <w:numId w:val="3"/>
        </w:numPr>
      </w:pPr>
      <w:r>
        <w:rPr/>
        <w:t xml:space="preserve">Comme études locales : a) PIRENNE, </w:t>
      </w:r>
      <w:r>
        <w:rPr>
          <w:i/>
        </w:rPr>
        <w:t xml:space="preserve">Histoire de Belgique</w:t>
      </w:r>
      <w:r>
        <w:rPr/>
        <w:t xml:space="preserve">, Bruxelles, 1900-1932 ; b) sur Paris, HUISMAN, </w:t>
      </w:r>
      <w:r>
        <w:rPr>
          <w:i/>
        </w:rPr>
        <w:t xml:space="preserve">La juridiction de la municipalité parisienne de saint Louis à Charles VII</w:t>
      </w:r>
      <w:r>
        <w:rPr/>
        <w:t xml:space="preserve">, Paris, 1912 (renseignements généraux sur les origines de la municipalité) ; VIDIER, </w:t>
      </w:r>
      <w:r>
        <w:rPr>
          <w:i/>
        </w:rPr>
        <w:t xml:space="preserve">Les origines de la municipalité parisienne</w:t>
      </w:r>
      <w:r>
        <w:rPr/>
        <w:t xml:space="preserve">, dans </w:t>
      </w:r>
      <w:r>
        <w:rPr>
          <w:i/>
        </w:rPr>
        <w:t xml:space="preserve">Mémoires Soc</w:t>
      </w:r>
      <w:r>
        <w:rPr/>
        <w:t xml:space="preserve">. </w:t>
      </w:r>
      <w:r>
        <w:rPr>
          <w:i/>
        </w:rPr>
        <w:t xml:space="preserve">Hist.</w:t>
      </w:r>
      <w:r>
        <w:rPr/>
        <w:t xml:space="preserve"> Paris, 1927, (important) ; Marcel POÈTE, </w:t>
      </w:r>
      <w:r>
        <w:rPr>
          <w:i/>
        </w:rPr>
        <w:t xml:space="preserve">Une vie de cité. Paris de sa naissance à nos jours</w:t>
      </w:r>
      <w:r>
        <w:rPr/>
        <w:t xml:space="preserve">, t. I, Paris, 1924.</w:t>
      </w:r>
    </w:p>
    <w:p>
      <w:pPr>
        <w:pStyle w:val="Notedebasdepage"/>
      </w:pPr>
      <w:r>
        <w:rPr/>
        <w:t xml:space="preserve">Pour le reste, je renvoie aux indications déjà citées d’Halphen, auxquelles rien d’absolument capital n’est venu depuis lors s’ajouter. Voir aussi les problèmes d’ensemble de la vie urbaine, régulièrement étudiés par ESPINAS, dans les </w:t>
      </w:r>
      <w:hyperlink r:id="ref7">
        <w:r>
          <w:rPr>
            <w:rStyle w:val="LienInternet"/>
            <w:i/>
          </w:rPr>
          <w:t xml:space="preserve">Annales d’histoire économique et sociale</w:t>
        </w:r>
      </w:hyperlink>
      <w:r>
        <w:rPr/>
        <w:t xml:space="preserve">.</w:t>
      </w:r>
    </w:p>
  </w:footnote>
  <w:footnote w:id="51">
    <w:p>
      <w:pPr>
        <w:pStyle w:val="Notedebasdepage"/>
      </w:pPr>
      <w:r>
        <w:rPr>
          <w:rStyle w:val="Appelnotedebasdep"/>
        </w:rPr>
        <w:footnoteRef/>
        <w:t xml:space="preserve"> </w:t>
      </w:r>
      <w:r>
        <w:rPr/>
        <w:t xml:space="preserve"> SALIMBENE, </w:t>
      </w:r>
      <w:r>
        <w:rPr>
          <w:i/>
        </w:rPr>
        <w:t xml:space="preserve">Cronica</w:t>
      </w:r>
      <w:r>
        <w:rPr/>
        <w:t xml:space="preserve">, éd. Holder-Egger, </w:t>
      </w:r>
      <w:r>
        <w:rPr>
          <w:i/>
        </w:rPr>
        <w:t xml:space="preserve">Monum. Germ., Scriptores</w:t>
      </w:r>
      <w:r>
        <w:rPr/>
        <w:t xml:space="preserve">, t. XXXII, p. 222.</w:t>
      </w:r>
    </w:p>
  </w:footnote>
  <w:footnote w:id="52">
    <w:p>
      <w:pPr>
        <w:pStyle w:val="Notedebasdepage"/>
      </w:pPr>
      <w:r>
        <w:rPr>
          <w:rStyle w:val="Appelnotedebasdep"/>
        </w:rPr>
        <w:footnoteRef/>
        <w:t xml:space="preserve"> </w:t>
      </w:r>
      <w:r>
        <w:rPr>
          <w:i/>
        </w:rPr>
        <w:t xml:space="preserve">Coutumes du Beauvaisis</w:t>
      </w:r>
      <w:r>
        <w:rPr/>
        <w:t xml:space="preserve">, éd. A. Salmon, Coll. Picard, 2 vol., Paris, 1899-1900 : t. II, par. 1525, p. 270-271.</w:t>
      </w:r>
    </w:p>
  </w:footnote>
  <w:footnote w:id="53">
    <w:p>
      <w:pPr>
        <w:pStyle w:val="Notedebasdepage"/>
      </w:pPr>
      <w:r>
        <w:rPr>
          <w:rStyle w:val="Appelnotedebasdep"/>
        </w:rPr>
        <w:footnoteRef/>
        <w:t xml:space="preserve"> </w:t>
      </w:r>
      <w:r>
        <w:rPr/>
        <w:t xml:space="preserve"> BEAUMANOIR, </w:t>
      </w:r>
      <w:r>
        <w:rPr>
          <w:i/>
        </w:rPr>
        <w:t xml:space="preserve">id</w:t>
      </w:r>
      <w:r>
        <w:rPr/>
        <w:t xml:space="preserve">., paragr. 1520, p. 267-268.</w:t>
      </w:r>
    </w:p>
  </w:footnote>
  <w:footnote w:id="54">
    <w:p>
      <w:pPr>
        <w:pStyle w:val="Notedebasdepage"/>
      </w:pPr>
      <w:r>
        <w:rPr>
          <w:rStyle w:val="Appelnotedebasdep"/>
        </w:rPr>
        <w:footnoteRef/>
        <w:t xml:space="preserve"> </w:t>
      </w:r>
      <w:r>
        <w:rPr/>
        <w:t xml:space="preserve">JOINVILLE, éd. de Wailly, p. 494.</w:t>
      </w:r>
    </w:p>
  </w:footnote>
  <w:footnote w:id="55">
    <w:p>
      <w:pPr>
        <w:pStyle w:val="Notedebasdepage"/>
      </w:pPr>
      <w:r>
        <w:rPr>
          <w:rStyle w:val="Appelnotedebasdep"/>
        </w:rPr>
        <w:footnoteRef/>
        <w:t xml:space="preserve"> </w:t>
      </w:r>
      <w:r>
        <w:rPr>
          <w:i/>
        </w:rPr>
        <w:t xml:space="preserve">Rec. des hist. de la France</w:t>
      </w:r>
      <w:r>
        <w:rPr/>
        <w:t xml:space="preserve">, t. XII, p. 304.</w:t>
      </w:r>
    </w:p>
  </w:footnote>
  <w:footnote w:id="56">
    <w:p>
      <w:pPr>
        <w:pStyle w:val="Notedebasdepage"/>
      </w:pPr>
      <w:r>
        <w:rPr>
          <w:rStyle w:val="Appelnotedebasdep"/>
        </w:rPr>
        <w:footnoteRef/>
        <w:t xml:space="preserve"> </w:t>
      </w:r>
      <w:r>
        <w:rPr>
          <w:i/>
        </w:rPr>
        <w:t xml:space="preserve">OLIM</w:t>
      </w:r>
      <w:r>
        <w:rPr/>
        <w:t xml:space="preserve">, t. III, 1, p. 366.</w:t>
      </w:r>
    </w:p>
  </w:footnote>
  <w:footnote w:id="57">
    <w:p>
      <w:pPr>
        <w:pStyle w:val="Notedebasdepage"/>
      </w:pPr>
      <w:r>
        <w:rPr>
          <w:rStyle w:val="Appelnotedebasdep"/>
        </w:rPr>
        <w:footnoteRef/>
        <w:t xml:space="preserve"> </w:t>
      </w:r>
      <w:r>
        <w:rPr/>
        <w:t xml:space="preserve"> Compléter la bibliographie par : J. VIARD, </w:t>
      </w:r>
      <w:r>
        <w:rPr>
          <w:i/>
        </w:rPr>
        <w:t xml:space="preserve">Paris sous Philippe le Bel</w:t>
      </w:r>
      <w:r>
        <w:rPr/>
        <w:t xml:space="preserve">, dans </w:t>
      </w:r>
      <w:r>
        <w:rPr>
          <w:i/>
        </w:rPr>
        <w:t xml:space="preserve">Bulletin de la Soc. Hist. de Paris</w:t>
      </w:r>
      <w:r>
        <w:rPr/>
        <w:t xml:space="preserve">, 1934, p. 56-71. Ch. V. LANGLOIS, </w:t>
      </w:r>
      <w:r>
        <w:rPr>
          <w:i/>
        </w:rPr>
        <w:t xml:space="preserve">Pierre Gencien</w:t>
      </w:r>
      <w:r>
        <w:rPr/>
        <w:t xml:space="preserve">, dans </w:t>
      </w:r>
      <w:r>
        <w:rPr>
          <w:i/>
        </w:rPr>
        <w:t xml:space="preserve">Histoire littéraire de la France</w:t>
      </w:r>
      <w:r>
        <w:rPr/>
        <w:t xml:space="preserve">, t. XXXV, 1921, p. 284-301.</w:t>
      </w:r>
    </w:p>
  </w:footnote>
  <w:footnote w:id="58">
    <w:p>
      <w:pPr>
        <w:pStyle w:val=""/>
      </w:pPr>
      <w:r>
        <w:rPr/>
        <w:t xml:space="preserve">Bibliographie</w:t>
      </w:r>
    </w:p>
    <w:p>
      <w:pPr>
        <w:pStyle w:val="Paragraphedeliste"/>
        <w:numPr>
          <w:ilvl w:val="0"/>
          <w:numId w:val="3"/>
        </w:numPr>
      </w:pPr>
      <w:r>
        <w:rPr/>
        <w:t xml:space="preserve">Fondamental : H. PIRENNE, </w:t>
      </w:r>
      <w:r>
        <w:rPr>
          <w:rStyle w:val="title-c"/>
        </w:rPr>
        <w:t>Le mouvement économique et social</w:t>
      </w:r>
      <w:r>
        <w:rPr/>
        <w:t xml:space="preserve"> dans G. GLOTZ, </w:t>
      </w:r>
      <w:r>
        <w:rPr>
          <w:rStyle w:val="title-c"/>
        </w:rPr>
        <w:t>Histoire générale, Histoire du Moyen âge</w:t>
      </w:r>
      <w:r>
        <w:rPr/>
        <w:t xml:space="preserve">, t. VIII, Paris, 1933. J’en recommande d’autant plus la lecture que je ne le reproduirai pas. Comme manuel précédent, je n’ai guère à citer que le très précieux recueil de renseignements de W. KULISHER, </w:t>
      </w:r>
      <w:r>
        <w:rPr>
          <w:rStyle w:val="title-c"/>
        </w:rPr>
        <w:t>Allegemeine Wirtschaftsgeschichte des Mittelalters und der Neuzeit</w:t>
      </w:r>
      <w:r>
        <w:rPr/>
        <w:t xml:space="preserve">, t. I, Munich, 1928.</w:t>
      </w:r>
    </w:p>
    <w:p>
      <w:pPr>
        <w:pStyle w:val="Paragraphedeliste"/>
        <w:numPr>
          <w:ilvl w:val="0"/>
          <w:numId w:val="3"/>
        </w:numPr>
      </w:pPr>
      <w:r>
        <w:rPr/>
        <w:t xml:space="preserve">Histoire économique de la France : Henri SÉE, </w:t>
      </w:r>
      <w:r>
        <w:rPr>
          <w:rStyle w:val="title-c"/>
        </w:rPr>
        <w:t>Esquisse d’une histoire économique et sociale de la France depuis les origines jusqu’à la guerre mondiale</w:t>
      </w:r>
      <w:r>
        <w:rPr/>
        <w:t xml:space="preserve">, Paris, 1929, et du même </w:t>
      </w:r>
      <w:r>
        <w:rPr>
          <w:rStyle w:val="title-c"/>
        </w:rPr>
        <w:t>Französische Wirtschaftsgeschichte</w:t>
      </w:r>
      <w:r>
        <w:rPr/>
        <w:t xml:space="preserve">, t. I, Iena, 1930 (plus développé).</w:t>
      </w:r>
    </w:p>
    <w:p>
      <w:pPr>
        <w:pStyle w:val="Paragraphedeliste"/>
        <w:numPr>
          <w:ilvl w:val="0"/>
          <w:numId w:val="3"/>
        </w:numPr>
      </w:pPr>
      <w:r>
        <w:rPr/>
        <w:t xml:space="preserve">Histoire rurale de la France : Marc BLOCH, </w:t>
      </w:r>
      <w:r>
        <w:rPr>
          <w:rStyle w:val="title-c"/>
        </w:rPr>
        <w:t>Les caractères originaux de l’histoire rurale française</w:t>
      </w:r>
      <w:r>
        <w:rPr/>
        <w:t xml:space="preserve">, Oslo et Paris, 1931, qui ne dispense pas tout à fait de recourir à l’ouvrage de H. SÉE, </w:t>
      </w:r>
      <w:r>
        <w:rPr>
          <w:rStyle w:val="title-c"/>
        </w:rPr>
        <w:t>Les classes rurales et le régime domanial en France au Moyen âge</w:t>
      </w:r>
      <w:r>
        <w:rPr/>
        <w:t xml:space="preserve">, Paris, 1901.</w:t>
      </w:r>
    </w:p>
    <w:p>
      <w:pPr>
        <w:pStyle w:val="Paragraphedeliste"/>
        <w:numPr>
          <w:ilvl w:val="0"/>
          <w:numId w:val="3"/>
        </w:numPr>
      </w:pPr>
      <w:r>
        <w:rPr/>
        <w:t xml:space="preserve">Il n’y a pas de bons ouvrages récents sur le commerce ou l’industrie en France. On peut encore se reporter avec profit à H. PIGEONNEAU, </w:t>
      </w:r>
      <w:r>
        <w:rPr>
          <w:i/>
        </w:rPr>
        <w:t xml:space="preserve">Histoire du commerce de la France</w:t>
      </w:r>
      <w:r>
        <w:rPr/>
        <w:t xml:space="preserve">, Paris, 1885-1889, 2 vol. (sur lequel LEVASSEUR, </w:t>
      </w:r>
      <w:r>
        <w:rPr>
          <w:rStyle w:val="title-c"/>
        </w:rPr>
        <w:t>Histoire du commerce de la France</w:t>
      </w:r>
      <w:r>
        <w:rPr/>
        <w:t xml:space="preserve">, Paris, 1911, ne représente qu’un faible progrès). — E. LEVASSEUR, </w:t>
      </w:r>
      <w:r>
        <w:rPr>
          <w:rStyle w:val="title-c"/>
        </w:rPr>
        <w:t>Histoire des classes ouvrières et de l’industrie en France avant 1789</w:t>
      </w:r>
      <w:r>
        <w:rPr/>
        <w:t xml:space="preserve">, t. I, Paris, 1901.</w:t>
      </w:r>
    </w:p>
  </w:footnote>
  <w:footnote w:id="59">
    <w:p>
      <w:pPr>
        <w:pStyle w:val="Notedebasdepage"/>
      </w:pPr>
      <w:r>
        <w:rPr>
          <w:rStyle w:val="Appelnotedebasdep"/>
        </w:rPr>
        <w:footnoteRef/>
        <w:t xml:space="preserve"> </w:t>
      </w:r>
      <w:r>
        <w:rPr/>
        <w:t xml:space="preserve">Thomas d’Aquin, né en 1225 ou 1227, mort en 1274. Plusieurs fois à Paris, comme étudiant, puis comme professeur. La Somme a été rédigée entre 1265 et 1273.</w:t>
      </w:r>
    </w:p>
  </w:footnote>
  <w:footnote w:id="60">
    <w:p>
      <w:pPr>
        <w:pStyle w:val="Notedebasdepage"/>
      </w:pPr>
      <w:r>
        <w:rPr>
          <w:rStyle w:val="Appelnotedebasdep"/>
        </w:rPr>
        <w:footnoteRef/>
        <w:t xml:space="preserve"> </w:t>
      </w:r>
      <w:r>
        <w:rPr/>
        <w:t xml:space="preserve"> Voir H. PIRENNE, </w:t>
      </w:r>
      <w:r>
        <w:rPr>
          <w:i/>
        </w:rPr>
        <w:t xml:space="preserve">Un grand commerce d’exportation au Mogen âge : les vins de France</w:t>
      </w:r>
      <w:r>
        <w:rPr/>
        <w:t xml:space="preserve">, dans </w:t>
      </w:r>
      <w:hyperlink r:id="ref8">
        <w:r>
          <w:rPr>
            <w:rStyle w:val="LienInternet"/>
            <w:i/>
          </w:rPr>
          <w:t xml:space="preserve">Annales d’histoire économique et sociale</w:t>
        </w:r>
      </w:hyperlink>
      <w:r>
        <w:rPr/>
        <w:t xml:space="preserve">, 1933., p. 225 sqq.</w:t>
      </w:r>
    </w:p>
  </w:footnote>
  <w:footnote w:id="61">
    <w:p>
      <w:pPr>
        <w:pStyle w:val="Notedebasdepage"/>
      </w:pPr>
      <w:r>
        <w:rPr>
          <w:rStyle w:val="Appelnotedebasdep"/>
        </w:rPr>
        <w:footnoteRef/>
        <w:t xml:space="preserve"> </w:t>
      </w:r>
      <w:r>
        <w:rPr/>
        <w:t xml:space="preserve"> A. BLANCHET </w:t>
      </w:r>
      <w:r>
        <w:rPr>
          <w:i/>
        </w:rPr>
        <w:t xml:space="preserve">et</w:t>
      </w:r>
      <w:r>
        <w:rPr/>
        <w:t xml:space="preserve"> A. DIEUDONNÉ, </w:t>
      </w:r>
      <w:r>
        <w:rPr>
          <w:i/>
        </w:rPr>
        <w:t xml:space="preserve">Manuel de numismatique française</w:t>
      </w:r>
      <w:r>
        <w:rPr/>
        <w:t xml:space="preserve">, t. II, Paris, 1916.</w:t>
      </w:r>
    </w:p>
  </w:footnote>
  <w:footnote w:id="62">
    <w:p>
      <w:pPr>
        <w:pStyle w:val="Notedebasdepage"/>
      </w:pPr>
      <w:r>
        <w:rPr>
          <w:rStyle w:val="Appelnotedebasdep"/>
        </w:rPr>
        <w:footnoteRef/>
        <w:t xml:space="preserve"> </w:t>
      </w:r>
      <w:r>
        <w:rPr/>
        <w:t xml:space="preserve"> Voir Marc BLOCH, </w:t>
      </w:r>
      <w:r>
        <w:rPr>
          <w:i/>
        </w:rPr>
        <w:t xml:space="preserve">Les mutations monétaires et les dettes</w:t>
      </w:r>
      <w:r>
        <w:rPr/>
        <w:t xml:space="preserve">, dans </w:t>
      </w:r>
      <w:hyperlink r:id="ref9">
        <w:r>
          <w:rPr>
            <w:rStyle w:val="LienInternet"/>
            <w:i/>
          </w:rPr>
          <w:t xml:space="preserve">Annales d’Hist. écon. et sociale</w:t>
        </w:r>
      </w:hyperlink>
      <w:r>
        <w:rPr/>
        <w:t xml:space="preserve">, t. VI, 1934, p. 383.</w:t>
      </w:r>
    </w:p>
  </w:footnote>
  <w:footnote w:id="63">
    <w:p>
      <w:pPr>
        <w:pStyle w:val="Notedebasdepage"/>
      </w:pPr>
      <w:r>
        <w:rPr>
          <w:rStyle w:val="Appelnotedebasdep"/>
        </w:rPr>
        <w:footnoteRef/>
        <w:t xml:space="preserve"> </w:t>
      </w:r>
      <w:r>
        <w:rPr/>
        <w:t xml:space="preserve"> Voir G. ESPINAS, </w:t>
      </w:r>
      <w:r>
        <w:rPr>
          <w:i/>
        </w:rPr>
        <w:t xml:space="preserve">Les origines du capitalisme.</w:t>
      </w:r>
      <w:r>
        <w:rPr/>
        <w:t xml:space="preserve"> 1. </w:t>
      </w:r>
      <w:r>
        <w:rPr>
          <w:i/>
        </w:rPr>
        <w:t xml:space="preserve">Sire Jehan Boinebroke, patricien et drapier douaisien ( ? , 1286 env.)</w:t>
      </w:r>
      <w:r>
        <w:rPr/>
        <w:t xml:space="preserve">, Lille, 1933, qui reprend et corrige un article paru antérieurement dans le </w:t>
      </w:r>
      <w:r>
        <w:rPr>
          <w:i/>
        </w:rPr>
        <w:t xml:space="preserve">Vierteljahrschrift für Sozial-und Wirtschaftsgeschichte.</w:t>
      </w:r>
    </w:p>
  </w:footnote>
  <w:footnote w:id="64">
    <w:p>
      <w:pPr>
        <w:pStyle w:val="Notedebasdepage"/>
      </w:pPr>
      <w:r>
        <w:rPr>
          <w:rStyle w:val="Appelnotedebasdep"/>
        </w:rPr>
        <w:footnoteRef/>
        <w:t xml:space="preserve"> </w:t>
      </w:r>
      <w:r>
        <w:rPr/>
        <w:t xml:space="preserve"> Voir W. GALLIEN, </w:t>
      </w:r>
      <w:r>
        <w:rPr>
          <w:i/>
        </w:rPr>
        <w:t xml:space="preserve">Der Ursprung der Zünfte in Paris</w:t>
      </w:r>
      <w:r>
        <w:rPr/>
        <w:t xml:space="preserve">, 1910. — G. FAGNIEZ, </w:t>
      </w:r>
      <w:r>
        <w:rPr>
          <w:i/>
        </w:rPr>
        <w:t xml:space="preserve">Études sur l’industrie et la classe industrielle à Paris au XIIIe et au XIVe siècle</w:t>
      </w:r>
      <w:r>
        <w:rPr/>
        <w:t xml:space="preserve">, Paris, 1877.</w:t>
      </w:r>
    </w:p>
  </w:footnote>
  <w:footnote w:id="65">
    <w:p>
      <w:pPr>
        <w:pStyle w:val="Notedebasdepage"/>
      </w:pPr>
      <w:r>
        <w:rPr>
          <w:rStyle w:val="Appelnotedebasdep"/>
        </w:rPr>
        <w:footnoteRef/>
        <w:t xml:space="preserve"> </w:t>
      </w:r>
      <w:r>
        <w:rPr/>
        <w:t xml:space="preserve">Renvoyer au beau développement de Pirenne, t. I, livre II, chap. IV, p. 1</w:t>
      </w:r>
    </w:p>
  </w:footnote>
  <w:footnote w:id="66">
    <w:p>
      <w:pPr>
        <w:pStyle w:val="Notedebasdepage"/>
      </w:pPr>
      <w:r>
        <w:rPr>
          <w:rStyle w:val="Appelnotedebasdep"/>
        </w:rPr>
        <w:footnoteRef/>
        <w:t xml:space="preserve"> </w:t>
      </w:r>
      <w:r>
        <w:rPr/>
        <w:t xml:space="preserve">Un mot de bibliographie (j’y joins l’Inquisition). Renseignements généraux, mais peu sûrs dans H. Ch. LEA, </w:t>
      </w:r>
      <w:r>
        <w:rPr>
          <w:i/>
        </w:rPr>
        <w:t xml:space="preserve">Histoire de l’Inquisition au Moyen âge</w:t>
      </w:r>
      <w:r>
        <w:rPr/>
        <w:t xml:space="preserve">, trad. franç., Paris, 3 vol., 1900-1902 ; plus récent : Jean GUIRAUD, </w:t>
      </w:r>
      <w:r>
        <w:rPr>
          <w:i/>
        </w:rPr>
        <w:t xml:space="preserve">Histoire de l’Inquisition</w:t>
      </w:r>
      <w:r>
        <w:rPr/>
        <w:t xml:space="preserve">, t. I, Paris, 1935, utile, sérieux, partial (si j’en juge par les travaux précédents de l’auteur) ; le premier volume, seul paru, traite de l’hérésie et des débuts de la répression avant l’Inquisition.</w:t>
      </w:r>
    </w:p>
    <w:p>
      <w:pPr>
        <w:pStyle w:val="Notedebasdepage"/>
      </w:pPr>
      <w:r>
        <w:rPr/>
        <w:t xml:space="preserve">Sur les Cathares — C. SCHMIDT, </w:t>
      </w:r>
      <w:r>
        <w:rPr>
          <w:i/>
        </w:rPr>
        <w:t xml:space="preserve">Histoire et doctrines de la secte des Cathares ou Albigeois</w:t>
      </w:r>
      <w:r>
        <w:rPr/>
        <w:t xml:space="preserve">, 2 vol., Paris, 1849, demeure fondamental. Peu de choses y ont été ajoutées par E. BROECHX, </w:t>
      </w:r>
      <w:r>
        <w:rPr>
          <w:i/>
        </w:rPr>
        <w:t xml:space="preserve">Le catharisme, étude sur les doctrines, la vie religieuse et morale, l’activité littéraire et les vicissitudes de la secte cathare avant la Croisade</w:t>
      </w:r>
      <w:r>
        <w:rPr/>
        <w:t xml:space="preserve">, Hoogstraten, 1916.</w:t>
      </w:r>
    </w:p>
    <w:p>
      <w:pPr>
        <w:pStyle w:val="Notedebasdepage"/>
      </w:pPr>
      <w:r>
        <w:rPr/>
        <w:t xml:space="preserve">Sur les Vaudois, travaux insuffisants. On peut citer E. COMBA, </w:t>
      </w:r>
      <w:r>
        <w:rPr>
          <w:i/>
        </w:rPr>
        <w:t xml:space="preserve">Histoire des Vaudois</w:t>
      </w:r>
      <w:r>
        <w:rPr/>
        <w:t xml:space="preserve">, 2</w:t>
      </w:r>
      <w:r>
        <w:rPr>
          <w:vertAlign w:val="superscript"/>
        </w:rPr>
        <w:t>e</w:t>
      </w:r>
      <w:r>
        <w:rPr/>
        <w:t xml:space="preserve"> éd., t. I, Paris, 1901.</w:t>
      </w:r>
    </w:p>
    <w:p>
      <w:pPr>
        <w:pStyle w:val="Notedebasdepage"/>
      </w:pPr>
      <w:r>
        <w:rPr/>
        <w:t xml:space="preserve">Sur l’Inquisition : E. VACANDARD, </w:t>
      </w:r>
      <w:r>
        <w:rPr>
          <w:i/>
        </w:rPr>
        <w:t xml:space="preserve">L’Inquisition, ses origines, sa procédure</w:t>
      </w:r>
      <w:r>
        <w:rPr/>
        <w:t xml:space="preserve">, 1906, et du même auteur : </w:t>
      </w:r>
      <w:r>
        <w:rPr>
          <w:i/>
        </w:rPr>
        <w:t xml:space="preserve">Inquisition</w:t>
      </w:r>
      <w:r>
        <w:rPr/>
        <w:t xml:space="preserve">, dans le </w:t>
      </w:r>
      <w:r>
        <w:rPr>
          <w:i/>
        </w:rPr>
        <w:t xml:space="preserve">Dict. de théologie cathol</w:t>
      </w:r>
      <w:r>
        <w:rPr/>
        <w:t xml:space="preserve">., VII. Observations intelligentes dans la brochure de E. JORDAN, </w:t>
      </w:r>
      <w:r>
        <w:rPr>
          <w:i/>
        </w:rPr>
        <w:t xml:space="preserve">La responsabilité de l’Église dans la répression de l’hérésie au Moyen âge</w:t>
      </w:r>
      <w:r>
        <w:rPr/>
        <w:t xml:space="preserve">, 1915. Renseignements précis et vivants dans Ch. H. HASKINS. </w:t>
      </w:r>
      <w:r>
        <w:rPr>
          <w:i/>
        </w:rPr>
        <w:t xml:space="preserve">Robert le Bougre and the beginnings of the Inquisition in the Northern France</w:t>
      </w:r>
      <w:r>
        <w:rPr/>
        <w:t xml:space="preserve">, dans </w:t>
      </w:r>
      <w:r>
        <w:rPr>
          <w:i/>
        </w:rPr>
        <w:t xml:space="preserve">American Hist. Review</w:t>
      </w:r>
      <w:r>
        <w:rPr/>
        <w:t xml:space="preserve">, t. VII, 1901-1902.</w:t>
      </w:r>
    </w:p>
  </w:footnote>
  <w:footnote w:id="67">
    <w:p>
      <w:pPr>
        <w:pStyle w:val="Notedebasdepage"/>
      </w:pPr>
      <w:r>
        <w:rPr>
          <w:rStyle w:val="Appelnotedebasdep"/>
        </w:rPr>
        <w:footnoteRef/>
        <w:t xml:space="preserve"> </w:t>
      </w:r>
      <w:r>
        <w:rPr/>
        <w:t xml:space="preserve"> HASKINS, </w:t>
      </w:r>
      <w:r>
        <w:rPr>
          <w:i/>
        </w:rPr>
        <w:t xml:space="preserve">Robert le Bougre....</w:t>
      </w:r>
      <w:r>
        <w:rPr/>
        <w:t xml:space="preserve"> p. 442.</w:t>
      </w:r>
    </w:p>
  </w:footnote>
  <w:footnote w:id="68">
    <w:p>
      <w:pPr>
        <w:pStyle w:val="Notedebasdepage"/>
      </w:pPr>
      <w:r>
        <w:rPr>
          <w:rStyle w:val="Appelnotedebasdep"/>
        </w:rPr>
        <w:footnoteRef/>
        <w:t xml:space="preserve"> </w:t>
      </w:r>
      <w:r>
        <w:rPr/>
        <w:t xml:space="preserve">Utiliser ici le dossier spécial.</w:t>
      </w:r>
    </w:p>
  </w:footnote>
  <w:footnote w:id="69">
    <w:p>
      <w:pPr>
        <w:pStyle w:val="Notedebasdepage"/>
      </w:pPr>
      <w:r>
        <w:rPr>
          <w:rStyle w:val="Appelnotedebasdep"/>
        </w:rPr>
        <w:footnoteRef/>
        <w:t xml:space="preserve"> </w:t>
      </w:r>
      <w:r>
        <w:rPr>
          <w:i/>
        </w:rPr>
        <w:t xml:space="preserve">Floire et Blancheflor</w:t>
      </w:r>
      <w:r>
        <w:rPr/>
        <w:t xml:space="preserve">, édité par Margaret Pelan, Paris, 1937, v. 3020-3023.</w:t>
      </w:r>
    </w:p>
  </w:footnote>
  <w:footnote w:id="70">
    <w:p>
      <w:pPr>
        <w:pStyle w:val="Notedebasdepage"/>
      </w:pPr>
      <w:r>
        <w:rPr>
          <w:rStyle w:val="Appelnotedebasdep"/>
        </w:rPr>
        <w:footnoteRef/>
        <w:t xml:space="preserve"> </w:t>
      </w:r>
      <w:r>
        <w:rPr/>
        <w:t xml:space="preserve"> Œuvres complètes de V. HUGO, </w:t>
      </w:r>
      <w:r>
        <w:rPr>
          <w:i/>
        </w:rPr>
        <w:t xml:space="preserve">Théâtre</w:t>
      </w:r>
      <w:r>
        <w:rPr/>
        <w:t xml:space="preserve">, t. IV, Paris, Albin Michel, 1933, p. 35.</w:t>
      </w:r>
    </w:p>
  </w:footnote>
  <w:footnote w:id="71">
    <w:p>
      <w:pPr>
        <w:pStyle w:val="Notedebasdepage"/>
      </w:pPr>
      <w:r>
        <w:rPr>
          <w:rStyle w:val="Appelnotedebasdep"/>
        </w:rPr>
        <w:footnoteRef/>
        <w:t xml:space="preserve"> </w:t>
      </w:r>
      <w:r>
        <w:rPr/>
        <w:t xml:space="preserve"> Michel DE DMITREWSKI, </w:t>
      </w:r>
      <w:r>
        <w:rPr>
          <w:i/>
        </w:rPr>
        <w:t xml:space="preserve">Frère Bernard Délicieux</w:t>
      </w:r>
      <w:r>
        <w:rPr/>
        <w:t xml:space="preserve">, dans </w:t>
      </w:r>
      <w:r>
        <w:rPr>
          <w:i/>
        </w:rPr>
        <w:t xml:space="preserve">Archivum franciscanum historicum</w:t>
      </w:r>
      <w:r>
        <w:rPr/>
        <w:t xml:space="preserve">, 1924 et 1925.</w:t>
      </w:r>
    </w:p>
  </w:footnote>
  <w:footnote w:id="72">
    <w:p>
      <w:pPr>
        <w:pStyle w:val="Notedebasdepage"/>
      </w:pPr>
      <w:r>
        <w:rPr>
          <w:rStyle w:val="Appelnotedebasdep"/>
        </w:rPr>
        <w:footnoteRef/>
        <w:t xml:space="preserve"> </w:t>
      </w:r>
      <w:r>
        <w:rPr/>
        <w:t xml:space="preserve"> J.-M. VIDAL, </w:t>
      </w:r>
      <w:r>
        <w:rPr>
          <w:i/>
        </w:rPr>
        <w:t xml:space="preserve">Les derniers ministres de l’Albigéisme en Languedoc. Leurs doctrines</w:t>
      </w:r>
      <w:r>
        <w:rPr/>
        <w:t xml:space="preserve">, dans </w:t>
      </w:r>
      <w:hyperlink r:id="ref10">
        <w:r>
          <w:rPr>
            <w:rStyle w:val="LienInternet"/>
            <w:i/>
          </w:rPr>
          <w:t xml:space="preserve">Revue des Questions historiques</w:t>
        </w:r>
      </w:hyperlink>
      <w:r>
        <w:rPr/>
        <w:t xml:space="preserve">, 1906, p. 61-107.</w:t>
      </w:r>
    </w:p>
  </w:footnote>
  <w:footnote w:id="73">
    <w:p>
      <w:pPr>
        <w:pStyle w:val="Notedebasdepage"/>
      </w:pPr>
      <w:r>
        <w:rPr>
          <w:rStyle w:val="Appelnotedebasdep"/>
        </w:rPr>
        <w:footnoteRef/>
        <w:t xml:space="preserve"> </w:t>
      </w:r>
      <w:r>
        <w:rPr/>
        <w:t xml:space="preserve"> Voir L. DELISLE, </w:t>
      </w:r>
      <w:r>
        <w:rPr>
          <w:i/>
        </w:rPr>
        <w:t xml:space="preserve">Le clergé français au XIIIe siècle, d’après le Journal des visites pastorales d’Eudes Rigaud</w:t>
      </w:r>
      <w:r>
        <w:rPr/>
        <w:t xml:space="preserve">, dans </w:t>
      </w:r>
      <w:r>
        <w:rPr>
          <w:i/>
        </w:rPr>
        <w:t xml:space="preserve">Bibl. Éc. Chartes</w:t>
      </w:r>
      <w:r>
        <w:rPr/>
        <w:t xml:space="preserve">, t. VIII, 1846, p. 479-499.</w:t>
      </w:r>
    </w:p>
  </w:footnote>
  <w:footnote w:id="74">
    <w:p>
      <w:pPr>
        <w:pStyle w:val="Notedebasdepage"/>
      </w:pPr>
      <w:r>
        <w:rPr>
          <w:rStyle w:val="Appelnotedebasdep"/>
        </w:rPr>
        <w:footnoteRef/>
        <w:t xml:space="preserve"> </w:t>
      </w:r>
      <w:r>
        <w:rPr>
          <w:i/>
        </w:rPr>
        <w:t xml:space="preserve">Le Credo de Joinville</w:t>
      </w:r>
      <w:r>
        <w:rPr/>
        <w:t xml:space="preserve">, éd. N. de Wailly, p. 508-537.</w:t>
      </w:r>
    </w:p>
  </w:footnote>
  <w:footnote w:id="75">
    <w:p>
      <w:pPr>
        <w:pStyle w:val="Notedebasdepage"/>
      </w:pPr>
      <w:r>
        <w:rPr>
          <w:rStyle w:val="Appelnotedebasdep"/>
        </w:rPr>
        <w:footnoteRef/>
        <w:t xml:space="preserve"> </w:t>
      </w:r>
      <w:r>
        <w:rPr/>
        <w:t xml:space="preserve"> Voir Ch. V. LANGLOIS, </w:t>
      </w:r>
      <w:r>
        <w:rPr>
          <w:i/>
        </w:rPr>
        <w:t xml:space="preserve">La vie en France au Moyen âge du milieu du XIIIe au milieu du XIVe. Enseignements, méditations et controverses. La vie spirituelle d’après des écrits en français à l’usage des laïcs</w:t>
      </w:r>
      <w:r>
        <w:rPr/>
        <w:t xml:space="preserve">, Paris, 1928.</w:t>
      </w:r>
    </w:p>
  </w:footnote>
  <w:footnote w:id="76">
    <w:p>
      <w:pPr>
        <w:pStyle w:val="Notedebasdepage"/>
      </w:pPr>
      <w:r>
        <w:rPr>
          <w:rStyle w:val="Appelnotedebasdep"/>
        </w:rPr>
        <w:footnoteRef/>
        <w:t xml:space="preserve"> </w:t>
      </w:r>
      <w:r>
        <w:rPr/>
        <w:t xml:space="preserve">Voir texte de saint Bonaventure, général en 1257, mort en 1274.</w:t>
      </w:r>
    </w:p>
  </w:footnote>
  <w:footnote w:id="77">
    <w:p>
      <w:pPr>
        <w:pStyle w:val="Notedebasdepage"/>
      </w:pPr>
      <w:r>
        <w:rPr>
          <w:rStyle w:val="Appelnotedebasdep"/>
        </w:rPr>
        <w:footnoteRef/>
        <w:t xml:space="preserve"> </w:t>
      </w:r>
      <w:r>
        <w:rPr/>
        <w:t xml:space="preserve"> Voir M. POÈTE, </w:t>
      </w:r>
      <w:r>
        <w:rPr>
          <w:i/>
        </w:rPr>
        <w:t xml:space="preserve">Paris, de sa naissance à nos jours</w:t>
      </w:r>
      <w:r>
        <w:rPr/>
        <w:t xml:space="preserve">, t. I, Paris, 1924, p. 180.</w:t>
      </w:r>
    </w:p>
  </w:footnote>
  <w:footnote w:id="78">
    <w:p>
      <w:pPr>
        <w:pStyle w:val="Notedebasdepage"/>
      </w:pPr>
      <w:r>
        <w:rPr>
          <w:rStyle w:val="Appelnotedebasdep"/>
        </w:rPr>
        <w:footnoteRef/>
        <w:t xml:space="preserve"> </w:t>
      </w:r>
      <w:r>
        <w:rPr/>
        <w:t xml:space="preserve"> Voir G. MOLLAT, </w:t>
      </w:r>
      <w:r>
        <w:rPr>
          <w:i/>
        </w:rPr>
        <w:t xml:space="preserve">Les papes d’Avignon (1305-1370)</w:t>
      </w:r>
      <w:r>
        <w:rPr/>
        <w:t xml:space="preserve">, 6</w:t>
      </w:r>
      <w:r>
        <w:rPr>
          <w:vertAlign w:val="superscript"/>
        </w:rPr>
        <w:t>e</w:t>
      </w:r>
      <w:r>
        <w:rPr/>
        <w:t xml:space="preserve"> éd., 1930.</w:t>
      </w:r>
    </w:p>
  </w:footnote>
  <w:footnote w:id="79">
    <w:p>
      <w:pPr>
        <w:pStyle w:val="Notedebasdepage"/>
      </w:pPr>
      <w:r>
        <w:rPr>
          <w:rStyle w:val="Appelnotedebasdep"/>
        </w:rPr>
        <w:footnoteRef/>
        <w:t xml:space="preserve"> </w:t>
      </w:r>
      <w:r>
        <w:rPr/>
        <w:t xml:space="preserve"> Voir Charles H. HASKINS, </w:t>
      </w:r>
      <w:r>
        <w:rPr>
          <w:i/>
        </w:rPr>
        <w:t xml:space="preserve">The Life of medieval Students as illustrated by their letters</w:t>
      </w:r>
      <w:r>
        <w:rPr/>
        <w:t xml:space="preserve">, Madison, Wisconsin, U.S.A, t. III, 1897-1898. — </w:t>
      </w:r>
      <w:r>
        <w:rPr>
          <w:i/>
        </w:rPr>
        <w:t xml:space="preserve">The University of Paris in the sermons of the thirteenth Century</w:t>
      </w:r>
      <w:r>
        <w:rPr/>
        <w:t xml:space="preserve">, </w:t>
      </w:r>
      <w:r>
        <w:rPr>
          <w:i/>
        </w:rPr>
        <w:t xml:space="preserve">Ibid</w:t>
      </w:r>
      <w:r>
        <w:rPr/>
        <w:t xml:space="preserve">., t. X, 1904-1905.</w:t>
      </w:r>
    </w:p>
  </w:footnote>
  <w:footnote w:id="80">
    <w:p>
      <w:pPr>
        <w:pStyle w:val="Notedebasdepage"/>
      </w:pPr>
      <w:r>
        <w:rPr>
          <w:rStyle w:val="Appelnotedebasdep"/>
        </w:rPr>
        <w:footnoteRef/>
        <w:t xml:space="preserve"> </w:t>
      </w:r>
      <w:r>
        <w:rPr/>
        <w:t xml:space="preserve"> Comme guide, les livres de E. GILSON, </w:t>
      </w:r>
      <w:r>
        <w:rPr>
          <w:i/>
        </w:rPr>
        <w:t xml:space="preserve">La philosophie au Mogen âge</w:t>
      </w:r>
      <w:r>
        <w:rPr/>
        <w:t xml:space="preserve">, 2 vol., Paris, 1922. Autres ouvrages du même auteur, plus développés, notamment : </w:t>
      </w:r>
      <w:r>
        <w:rPr>
          <w:i/>
        </w:rPr>
        <w:t xml:space="preserve">L’Esprit de la philosophie médiévale</w:t>
      </w:r>
      <w:r>
        <w:rPr/>
        <w:t xml:space="preserve">, 2 vol., Paris, 1932. Références rapides UEBERVEG, </w:t>
      </w:r>
      <w:r>
        <w:rPr>
          <w:i/>
        </w:rPr>
        <w:t xml:space="preserve">Grundriss der Geschichte der Philosophie</w:t>
      </w:r>
      <w:r>
        <w:rPr/>
        <w:t xml:space="preserve">, t. II.</w:t>
      </w:r>
    </w:p>
  </w:footnote>
  <w:footnote w:id="81">
    <w:p>
      <w:pPr>
        <w:pStyle w:val="Notedebasdepage"/>
      </w:pPr>
      <w:r>
        <w:rPr>
          <w:rStyle w:val="Appelnotedebasdep"/>
        </w:rPr>
        <w:footnoteRef/>
        <w:t xml:space="preserve"> </w:t>
      </w:r>
      <w:r>
        <w:rPr/>
        <w:t xml:space="preserve"> Voir D’IRSAY, </w:t>
      </w:r>
      <w:r>
        <w:rPr>
          <w:i/>
        </w:rPr>
        <w:t xml:space="preserve">Histoire des Universités françaises et étrangères des origines à nos jours</w:t>
      </w:r>
      <w:r>
        <w:rPr/>
        <w:t xml:space="preserve">, Paris, t. I, 1933. — ROSHDALL, </w:t>
      </w:r>
      <w:r>
        <w:rPr>
          <w:i/>
        </w:rPr>
        <w:t xml:space="preserve">The Universities of Europe in the Middle Ages</w:t>
      </w:r>
      <w:r>
        <w:rPr/>
        <w:t xml:space="preserve">, 3 vol. 1895, Abrégé, Cambridge.</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http://gallica.bnf.fr/document?O=N018271" TargetMode="External" Type="http://schemas.openxmlformats.org/officeDocument/2006/relationships/hyperlink" Id="ref1"/><Relationship Target="http://gallica.bnf.fr/document?O=N018238" TargetMode="External" Type="http://schemas.openxmlformats.org/officeDocument/2006/relationships/hyperlink" Id="ref2"/><Relationship Target="http://gallica.bnf.fr/document?O=N018186" TargetMode="External" Type="http://schemas.openxmlformats.org/officeDocument/2006/relationships/hyperlink" Id="ref3"/><Relationship Target="http://gallica.bnf.fr/document?O=N087160" TargetMode="External" Type="http://schemas.openxmlformats.org/officeDocument/2006/relationships/hyperlink" Id="ref4"/><Relationship Target="http://gallica.bnf.fr/document?O=N054717" TargetMode="External" Type="http://schemas.openxmlformats.org/officeDocument/2006/relationships/hyperlink" Id="ref5"/><Relationship Target="http://gallica.bnf.fr/document?O=N017467" TargetMode="External" Type="http://schemas.openxmlformats.org/officeDocument/2006/relationships/hyperlink" Id="ref6"/><Relationship Target="http://gallica.bnf.fr/document?O=N010020" TargetMode="External" Type="http://schemas.openxmlformats.org/officeDocument/2006/relationships/hyperlink" Id="ref7"/><Relationship Target="http://gallica.bnf.fr/document?O=N010020" TargetMode="External" Type="http://schemas.openxmlformats.org/officeDocument/2006/relationships/hyperlink" Id="ref8"/><Relationship Target="http://gallica.bnf.fr/document?O=N010027" TargetMode="External" Type="http://schemas.openxmlformats.org/officeDocument/2006/relationships/hyperlink" Id="ref9"/><Relationship Target="http://gallica.bnf.fr/document?O=N016999" TargetMode="External" Type="http://schemas.openxmlformats.org/officeDocument/2006/relationships/hyperlink" Id="ref10"/></Relationships>
</file>