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citation est venue à l’ordre du corps d’armée (juillet 1942).</w:t>
      </w:r>
    </w:p>
  </w:footnote>
  <w:footnote w:id="2">
    <w:p>
      <w:pPr>
        <w:pStyle w:val="Notedebasdepage"/>
      </w:pPr>
      <w:r>
        <w:rPr>
          <w:rStyle w:val="Appelnotedebasdep"/>
        </w:rPr>
        <w:footnoteRef/>
        <w:t xml:space="preserve"> </w:t>
      </w:r>
      <w:r>
        <w:rPr/>
        <w:t xml:space="preserve"> Au surplus, c’est le général Weygand, ancien directeur du Centre des hautes études militaires, ancien généralissime, qui l’a dit, le 25 mai 1940 (</w:t>
      </w:r>
      <w:r>
        <w:rPr>
          <w:i/>
        </w:rPr>
        <w:t xml:space="preserve">Les Documents secrets de l’État-Major général français</w:t>
      </w:r>
      <w:r>
        <w:rPr/>
        <w:t xml:space="preserve">, p. 140) : « La France a commis l’immense erreur d’entrer en guerre n’ayant ni le matériel qu’il fallait, </w:t>
      </w:r>
      <w:r>
        <w:rPr>
          <w:i/>
        </w:rPr>
        <w:t xml:space="preserve">ni la doctrine militaire qu’il fallait</w:t>
      </w:r>
      <w:r>
        <w:rPr/>
        <w:t xml:space="preserve"> [Juillet 1942.]</w:t>
      </w:r>
    </w:p>
  </w:footnote>
  <w:footnote w:id="3">
    <w:p>
      <w:pPr>
        <w:pStyle w:val="Notedebasdepage"/>
      </w:pPr>
      <w:r>
        <w:rPr>
          <w:rStyle w:val="Appelnotedebasdep"/>
        </w:rPr>
        <w:footnoteRef/>
        <w:t xml:space="preserve"> </w:t>
      </w:r>
      <w:r>
        <w:rPr/>
        <w:t xml:space="preserve"> Sur l’accélération du rythme que les métamorphoses du présent imposent à la pensée, on trouvera d’intelligentes observations dans un petit livre où on ne songerait sans doute guère à les chercher : celui de </w:t>
      </w:r>
      <w:r>
        <w:rPr>
          <w:i/>
        </w:rPr>
        <w:t xml:space="preserve">Charlesworth</w:t>
      </w:r>
      <w:r>
        <w:rPr/>
        <w:t xml:space="preserve"> sur </w:t>
      </w:r>
      <w:r>
        <w:rPr>
          <w:i/>
        </w:rPr>
        <w:t xml:space="preserve">Les Routes et le trafic commercial dans l’Empire romain.</w:t>
      </w:r>
      <w:r>
        <w:rPr/>
        <w:t xml:space="preserve"> Voir le développement de la page 225. Notamment : Les hommes doivent aujourd’hui prendre leurs résolutions avec une promptitude qui eût stupéfié nos aïeux. » [Juillet 1942.]</w:t>
      </w:r>
    </w:p>
  </w:footnote>
  <w:footnote w:id="4">
    <w:p>
      <w:pPr>
        <w:pStyle w:val="Notedebasdepage"/>
      </w:pPr>
      <w:r>
        <w:rPr>
          <w:rStyle w:val="Appelnotedebasdep"/>
        </w:rPr>
        <w:footnoteRef/>
        <w:t xml:space="preserve"> </w:t>
      </w:r>
      <w:r>
        <w:rPr/>
        <w:t xml:space="preserve"> Je donne ici le récit, tel qu’il m’a été fait, sur le moment. Si je comprends bien son rapport du 22 mai, au Comité de guerre franco-britannique </w:t>
      </w:r>
      <w:r>
        <w:rPr>
          <w:i/>
        </w:rPr>
        <w:t xml:space="preserve">(Les Documents secrets de l’État-Major français</w:t>
      </w:r>
      <w:r>
        <w:rPr/>
        <w:t xml:space="preserve">, p. 130), Weygand n’aurait pourtant pas réussi à joindre lord Gort. [Juillet 1942].</w:t>
      </w:r>
    </w:p>
  </w:footnote>
  <w:footnote w:id="5">
    <w:p>
      <w:pPr>
        <w:pStyle w:val="Notedebasdepage"/>
      </w:pPr>
      <w:r>
        <w:rPr>
          <w:rStyle w:val="Appelnotedebasdep"/>
        </w:rPr>
        <w:footnoteRef/>
        <w:t xml:space="preserve"> </w:t>
      </w:r>
      <w:r>
        <w:rPr/>
        <w:t xml:space="preserve">Je me rends mieux compte aujourd’hui que ce matériel, certainement insuffisant, ne manquait cependant point autant qu’on l’a dit. Il manquait sur le front. Mais nous avions, à l’arrière, des chars immobilisés dans les magasins et des avions qui ne volèrent jamais. Les uns comme les autres, parfois, en pièces détachées. Que se passa-t-il à Villacoublay, lors de l’avance de l’armée allemande sur Paris ? Est-il exact que, comme on me l’a dit, il fallut détruire sur le terrain, un grand nombre d’avions, faute d’aviateurs capables de leur faire prendre l’air ? Ce dernier trait ne me paraît point invraisemblable. Je connais un aviateur civil, dûment mobilisé, qui, durant toute la guerre, n’a jamais été autorisé à monter un avion militaire.</w:t>
      </w:r>
    </w:p>
  </w:footnote>
  <w:footnote w:id="6">
    <w:p>
      <w:pPr>
        <w:pStyle w:val="Notedebasdepage"/>
      </w:pPr>
      <w:r>
        <w:rPr>
          <w:rStyle w:val="Appelnotedebasdep"/>
        </w:rPr>
        <w:footnoteRef/>
        <w:t xml:space="preserve"> </w:t>
      </w:r>
      <w:r>
        <w:rPr/>
        <w:t xml:space="preserve">La machine, c’est le neuf. Voilà pourquoi, sans doute, les professeurs de stratégie ne l’ont jamais beaucoup aimée. Au moins chez nous J. de Pierrefeu </w:t>
      </w:r>
      <w:r>
        <w:rPr>
          <w:i/>
        </w:rPr>
        <w:t xml:space="preserve">(Plutarque a menti</w:t>
      </w:r>
      <w:r>
        <w:rPr/>
        <w:t xml:space="preserve">, p. 300) écrivait naguère : « Robert de Beauplan, qui fut un des délégués du </w:t>
      </w:r>
      <w:r>
        <w:rPr>
          <w:i/>
        </w:rPr>
        <w:t xml:space="preserve">Matin</w:t>
      </w:r>
      <w:r>
        <w:rPr/>
        <w:t xml:space="preserve"> lors du fameux </w:t>
      </w:r>
      <w:r>
        <w:rPr>
          <w:i/>
        </w:rPr>
        <w:t xml:space="preserve">Circuit de l’Est</w:t>
      </w:r>
      <w:r>
        <w:rPr/>
        <w:t xml:space="preserve"> au cours duquel la France comprit le miracle de son aviation, m’a raconté une étonnante conversation qu’il eut à l’issue de la triomphale épreuve avec le général Foch, commandant le X</w:t>
      </w:r>
      <w:r>
        <w:rPr>
          <w:vertAlign w:val="superscript"/>
        </w:rPr>
        <w:t>e</w:t>
      </w:r>
      <w:r>
        <w:rPr/>
        <w:t xml:space="preserve"> corps. Sur le plateau de Malzéville, comme le cortège regagnait les voitures, Foch le prit familièrement par le bras et lui dit : « Tout ça, voyez-vous, c’est du sport : mais pour l’Armée, l’avion, c’est zéro. » On comparera, avec ce propos, une célèbre préface du maréchal Pétain sur les dangers de la motorisation. Seulement, de 1914 à 1918, même les stratèges avaient eu le temps de comprendre. [Juillet 1942].</w:t>
      </w:r>
    </w:p>
  </w:footnote>
  <w:footnote w:id="7">
    <w:p>
      <w:pPr>
        <w:pStyle w:val="Notedebasdepage"/>
      </w:pPr>
      <w:r>
        <w:rPr>
          <w:rStyle w:val="Appelnotedebasdep"/>
        </w:rPr>
        <w:footnoteRef/>
        <w:t xml:space="preserve"> </w:t>
      </w:r>
      <w:r>
        <w:rPr/>
        <w:t xml:space="preserve">En vérité, nous en sautions plus d’un. Régulièrement, le Parc d’Essence ne dépendait du commandant de l’armée que par l’intermédiaire du général commandant l’artillerie de l’armée, représenté lui-même, au degré inférieur, par le chef d’escadron directeur du service des Munitions et Essence. La voie hiérarchique eût donc exigé que tout ordre, de l’armée au parc, passât, avant d’atteindre son but, par ces deux autorités superposées. Tel était bien le chemin que suivaient invariablement, à Bohain, les papiers officiels ; et la lenteur du détour n’avait pas laissé de nous préoccuper beaucoup, Lachamp et moi, quand nous évoquions les nécessités d’une époque plus active. Heureusement nous pûmes, le moment venu, court-circuiter la ligne. Sans étincelles, grâces en soient rendues à l’obligeante bonne volonté des officiers intéressés.</w:t>
      </w:r>
    </w:p>
  </w:footnote>
  <w:footnote w:id="8">
    <w:p>
      <w:pPr>
        <w:pStyle w:val="Notedebasdepage"/>
      </w:pPr>
      <w:r>
        <w:rPr>
          <w:rStyle w:val="Appelnotedebasdep"/>
        </w:rPr>
        <w:footnoteRef/>
        <w:t xml:space="preserve"> </w:t>
      </w:r>
      <w:r>
        <w:rPr/>
        <w:t xml:space="preserve">Je suis de plus en plus persuadé qu’elle était la seule sage. Qu’eût été l’avenir de la guerre, si toute l’armée britannique en mai-juin 1940 s’était usée sur le continent ? Dure sagesse, cependant, à laquelle un exécutant français, alors, pouvait difficilement s’élever. [Juillet 1942.]</w:t>
      </w:r>
    </w:p>
  </w:footnote>
  <w:footnote w:id="9">
    <w:p>
      <w:pPr>
        <w:pStyle w:val="Notedebasdepage"/>
      </w:pPr>
      <w:r>
        <w:rPr>
          <w:rStyle w:val="Appelnotedebasdep"/>
        </w:rPr>
        <w:footnoteRef/>
        <w:t xml:space="preserve"> </w:t>
      </w:r>
      <w:r>
        <w:rPr/>
        <w:t xml:space="preserve"> Dans le procès-verbel du comité de guerre du 26 avril 1940 </w:t>
      </w:r>
      <w:r>
        <w:rPr>
          <w:i/>
        </w:rPr>
        <w:t xml:space="preserve">(Les Documents secriets de l’État-Major général français</w:t>
      </w:r>
      <w:r>
        <w:rPr/>
        <w:t xml:space="preserve">, p. 98), je relève une phrase qui en dit long sur l’insupportable vanité de nos états-majors,. La parole est au général Gamelin : « C’est aux Anglais à fourrnir l’effort principal [en Norvège]... </w:t>
      </w:r>
      <w:r>
        <w:rPr>
          <w:i/>
        </w:rPr>
        <w:t xml:space="preserve">Au surplus, il faut les soutenir moralement, les aider à organiser le commandement, leur donner la méthode et le cran.</w:t>
      </w:r>
      <w:r>
        <w:rPr/>
        <w:t xml:space="preserve"> Hélas ! [juillet 1942.]</w:t>
      </w:r>
    </w:p>
  </w:footnote>
  <w:footnote w:id="10">
    <w:p>
      <w:pPr>
        <w:pStyle w:val="Notedebasdepage"/>
      </w:pPr>
      <w:r>
        <w:rPr>
          <w:rStyle w:val="Appelnotedebasdep"/>
        </w:rPr>
        <w:footnoteRef/>
        <w:t xml:space="preserve"> </w:t>
      </w:r>
      <w:r>
        <w:rPr/>
        <w:t xml:space="preserve">Abréviation de « Quarter-Master General’s Branch ».</w:t>
      </w:r>
    </w:p>
  </w:footnote>
  <w:footnote w:id="11">
    <w:p>
      <w:pPr>
        <w:pStyle w:val="Notedebasdepage"/>
      </w:pPr>
      <w:r>
        <w:rPr>
          <w:rStyle w:val="Appelnotedebasdep"/>
        </w:rPr>
        <w:footnoteRef/>
        <w:t xml:space="preserve"> </w:t>
      </w:r>
      <w:r>
        <w:rPr/>
        <w:t xml:space="preserve"> Sur ces insuffisances de liaison, entre nos forces et le Corps Expéditionnaire, voir l’intervention de Churchill au comité de guerre franco- britannique du 22 mai et son télégramme du 24. </w:t>
      </w:r>
      <w:r>
        <w:rPr>
          <w:i/>
        </w:rPr>
        <w:t xml:space="preserve">(Les Documents secrets de l’État-Major général</w:t>
      </w:r>
      <w:r>
        <w:rPr/>
        <w:t xml:space="preserve"> français, p. 57 et 132, juillet 1942.)</w:t>
      </w:r>
    </w:p>
  </w:footnote>
  <w:footnote w:id="12">
    <w:p>
      <w:pPr>
        <w:pStyle w:val="Notedebasdepage"/>
      </w:pPr>
      <w:r>
        <w:rPr>
          <w:rStyle w:val="Appelnotedebasdep"/>
        </w:rPr>
        <w:footnoteRef/>
        <w:t xml:space="preserve"> </w:t>
      </w:r>
      <w:r>
        <w:rPr/>
        <w:t xml:space="preserve"> Sur les mauvaises habitudes des 2</w:t>
      </w:r>
      <w:r>
        <w:rPr>
          <w:vertAlign w:val="superscript"/>
        </w:rPr>
        <w:t>es</w:t>
      </w:r>
      <w:r>
        <w:rPr/>
        <w:t xml:space="preserve"> bureaux, bien avant la guerre, voici le témoignage écrasant de B. de Jouvenel, </w:t>
      </w:r>
      <w:r>
        <w:rPr>
          <w:i/>
        </w:rPr>
        <w:t xml:space="preserve">La Décomposition de l’Europe libérale</w:t>
      </w:r>
      <w:r>
        <w:rPr/>
        <w:t xml:space="preserve">, p. 212 : « Notre état-major apporte une vanité puérile à étaler dans les pages de </w:t>
      </w:r>
      <w:r>
        <w:rPr>
          <w:i/>
        </w:rPr>
        <w:t xml:space="preserve">L’Annuaire (L’Annuaire militaire de la S.D.N.)</w:t>
      </w:r>
      <w:r>
        <w:rPr/>
        <w:t xml:space="preserve"> des forces que nous n’avons pas, des militaires de carrière dont on n’a point reçu les engagements et des réservistes qu’on ne convoque pas. Il renforce ainsi la thèse allemande. » Pour 1914, cf. les </w:t>
      </w:r>
      <w:r>
        <w:rPr>
          <w:i/>
        </w:rPr>
        <w:t xml:space="preserve">Mémoires</w:t>
      </w:r>
      <w:r>
        <w:rPr/>
        <w:t xml:space="preserve"> de Joffre, p. 249 (faux renseignement sur les corps de réserve allemands). [juillet 1942.]</w:t>
      </w:r>
    </w:p>
  </w:footnote>
  <w:footnote w:id="13">
    <w:p>
      <w:pPr>
        <w:pStyle w:val="Notedebasdepage"/>
      </w:pPr>
      <w:r>
        <w:rPr>
          <w:rStyle w:val="Appelnotedebasdep"/>
        </w:rPr>
        <w:footnoteRef/>
        <w:t xml:space="preserve"> </w:t>
      </w:r>
      <w:r>
        <w:rPr/>
        <w:t xml:space="preserve">Vieille tare de nos états-majors, d’ailleurs, que cette incapacité de renseigner. Dans ses </w:t>
      </w:r>
      <w:r>
        <w:rPr>
          <w:i/>
        </w:rPr>
        <w:t xml:space="preserve">Mémoires</w:t>
      </w:r>
      <w:r>
        <w:rPr/>
        <w:t xml:space="preserve">, le duc de Fezensac rapporte qu’ayant reçu, un jour, de Ney la mission de porter un ordre à un des généraux subordonnés du maréchal, il voulut demander où il devait aller : « Point d’observations, me répondit le maréchal. Je ne les aime point », et Fezensac d’ajouter : « On ne nous parlait jamais de la situation des troupes. Aucun ordre de mouvement, aucun rapport ne nous était communiqué. Il fallait s’informer comme on pouvait ou plutôt deviner. » (Cité par M. LEROY, </w:t>
      </w:r>
      <w:r>
        <w:rPr>
          <w:i/>
        </w:rPr>
        <w:t xml:space="preserve">La Pensée de Sainte-Beuve</w:t>
      </w:r>
      <w:r>
        <w:rPr/>
        <w:t xml:space="preserve">, p. 56.) Voilà une observation que nous aurions pu contresigner : n’est-ce pas, ô Lachamp. [juillet 1942.]</w:t>
      </w:r>
    </w:p>
  </w:footnote>
  <w:footnote w:id="14">
    <w:p>
      <w:pPr>
        <w:pStyle w:val="Notedebasdepage"/>
      </w:pPr>
      <w:r>
        <w:rPr>
          <w:rStyle w:val="Appelnotedebasdep"/>
        </w:rPr>
        <w:footnoteRef/>
        <w:t xml:space="preserve"> </w:t>
      </w:r>
      <w:r>
        <w:rPr/>
        <w:t xml:space="preserve"> Il y a, d’ailleurs là, un gros problème. Nul texte ne le pose avec plus d’éclat que le tome premier des </w:t>
      </w:r>
      <w:r>
        <w:rPr>
          <w:i/>
        </w:rPr>
        <w:t xml:space="preserve">Mémoires</w:t>
      </w:r>
      <w:r>
        <w:rPr/>
        <w:t xml:space="preserve"> de Joffre. On n’y trouvera pas seulement l’étonnante liste des généraux qu’il fallut relever de leur poste dans les premiers mois de la guerre (par exemple, de la mobilisation au 6 septembre 1914, la moitié au moins des commandants de divisions d’infanterie active, la moitié exactement des commandants de divisions de cavalerie). La remarque de Joffre à propos d’un général de corps d’armée : « Il avait fait preuve d’incapacité à passer de la mentalité du temps de paix à la mentalité du temps de guerre », elle vaut, évidemment, pour la plupart des chefs ainsi « limogés », pour près de la moitié, en somme, des chefs du temps de paix. Mais alors, qu’est-ce donc que l’éducation militaire, si elle prépare à tout, sauf à la guerre ? [Juillet 1942.1</w:t>
      </w:r>
    </w:p>
  </w:footnote>
  <w:footnote w:id="15">
    <w:p>
      <w:pPr>
        <w:pStyle w:val="Notedebasdepage"/>
      </w:pPr>
      <w:r>
        <w:rPr>
          <w:rStyle w:val="Appelnotedebasdep"/>
        </w:rPr>
        <w:footnoteRef/>
        <w:t xml:space="preserve"> </w:t>
      </w:r>
      <w:r>
        <w:rPr/>
        <w:t xml:space="preserve">Je pense aujourd’hui, d’après beaucoup de témoignages recueillis au cours de ces deux ans, que les défaillances dans le commandement des troupes ont été sensiblement moins rares que je ne voulais le croire, au sortir même de la défaite. Je laisse naturellement mon texte tel quel. Mais pour être scrupuleusement véridique, il faudrait, je le crains, l’accentuer. L’aveu est douloureux et je ne le fais pas sans peine. Sans doute une certaine crise de la moralité de groupes de classes (chez les officiers de réserve comme dans l’active) était-elle plus profonde qu’on n’osait l’imaginer. Qu’elle n’eût pas tout contaminé, chacun le sait aussi. A côté de ces faiblesses, dans les mêmes milieux, que de beaux actes de courage. Ce sont ces contrastes qui rendent l’histoire si difficile à nuancer. Aussi bien, la crise de la moralité collective, dans certaines couches de la nation, et les réactions de ces mêmes éléments, contre la crise, nous ne connaissons aujourd’hui tout cela que trop bien : la « collaboration » a été une sûre pierre de touche. [Juillet 1942.]</w:t>
      </w:r>
    </w:p>
  </w:footnote>
  <w:footnote w:id="16">
    <w:p>
      <w:pPr>
        <w:pStyle w:val="Notedebasdepage"/>
      </w:pPr>
      <w:r>
        <w:rPr>
          <w:rStyle w:val="Appelnotedebasdep"/>
        </w:rPr>
        <w:footnoteRef/>
        <w:t xml:space="preserve"> </w:t>
      </w:r>
      <w:r>
        <w:rPr/>
        <w:t xml:space="preserve">Ce texte avait été confié par Marc Bloch aux siens tandis qu’il menait la vie clandestine. Nous en connaissons peu d’une beauté d’âme et d’écriture aussi parfaite.</w:t>
      </w:r>
    </w:p>
    <w:p>
      <w:pPr>
        <w:pStyle w:val="Notedebasdepage"/>
      </w:pPr>
      <w:r>
        <w:rPr/>
        <w:t xml:space="preserve">Quatre ans après avoir écrit ce Témoignage qu’on vient de lire, un an après ces dernières volontés où il se résumait en une forme de diamant, Marc Bloch tombait sous les balles nazies.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