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quoi je me trouve m’opposer dès le début, et sans l’avoir cherché à l’</w:t>
      </w:r>
      <w:r>
        <w:rPr>
          <w:i/>
        </w:rPr>
        <w:t xml:space="preserve">In­troduction aux Études Historiques</w:t>
      </w:r>
      <w:r>
        <w:rPr/>
        <w:t xml:space="preserve"> de Langlois et Seignobos. Le passage qu’on vient de lire était écrit depuis longtemps déjà quand m’est tombée sous les yeux, dans l’</w:t>
      </w:r>
      <w:r>
        <w:rPr>
          <w:i/>
        </w:rPr>
        <w:t xml:space="preserve">Avertissement</w:t>
      </w:r>
      <w:r>
        <w:rPr/>
        <w:t xml:space="preserve"> de cet ouvrage (p. XII), une liste de « questions oiseuses ». J’y vois figurer textuellement, celle‑ci « À quoi sert l’histoire ? » – Sans doute en va‑t‑il de ce problème comme de presque tous ceux qui concernent les raisons d’être de nos actes et de nos pensées : les esprits qui leur demeurent par nature indifférents – ou ont volontairement décidé de se rendre tels – comprennent toujours difficilement que d’autres esprits y trouvent le sujet de réflexions pas­sionnantes. Cependant, puisque l’occasion m’en est ainsi offerte, mieux vaut je crois, fixer dès maintenant ma position vis‑à‑vis d’un livre justement notoire – que le mien d’ailleurs, construit sur un autre plan et, dans certaines de ses parties, beaucoup moins développé, ne prétend nullement remplacer. J’ai été l’élève de ses deux auteurs et, spécialement, de M. Seignobos. Ils m’ont donné, l’un et l’autre, de précieuses marques de leur bienveillance. Mon éducation pre­mière a dû beaucoup à leur enseignement et à leur œuvre. Mais ils ne nous ont pas seulement appris, tous deux, que l’historien a pour premier devoir d’être sincère ; ils ne dissimulaient pas davantage que le progrès même de nos études est fait de la contradiction nécessaire entre les générations de travailleurs. Je resterai donc fidèle à leurs leçons en les critiquant, là où je le jugerai utile, très librement ; comme je souhaite qu’un jour mes élèves, à leur tour, me critiquent.</w:t>
      </w:r>
    </w:p>
  </w:footnote>
  <w:footnote w:id="2">
    <w:p>
      <w:pPr>
        <w:pStyle w:val="Notedebasdepage"/>
      </w:pPr>
      <w:r>
        <w:rPr>
          <w:rStyle w:val="Appelnotedebasdep"/>
        </w:rPr>
        <w:footnoteRef/>
        <w:t xml:space="preserve"> </w:t>
      </w:r>
      <w:r>
        <w:rPr>
          <w:i/>
        </w:rPr>
        <w:t xml:space="preserve">Fragment de cette note sur feuille volante : le début est perdu</w:t>
      </w:r>
      <w:r>
        <w:rPr/>
        <w:t xml:space="preserve"> : [… comme l’a montré] Lucien Febvre, c’est l’histoire elle‑même qui, interrogée sur la ligne que le développement de l’humanité n’a cessé de suivre, se charge de leur infliger le plus flagrant démenti. Non seulement chaque science, prise à part, trouve dans les transfuges des secteurs voisins, les artisans souvent les meilleurs de ses succès. Pasteur, qui renouvela la biologie, n’était pas un biologiste – et, de son vivant, on le lui fit bien voir ; tout de même que Durkheim et Vidal de la Blache qui ont laissé sur les études historiques du début du XX</w:t>
      </w:r>
      <w:r>
        <w:rPr>
          <w:vertAlign w:val="superscript"/>
        </w:rPr>
        <w:t>ᵉ</w:t>
      </w:r>
      <w:r>
        <w:rPr/>
        <w:t xml:space="preserve"> siècle une marque incom­parablement plus profonde que celle de n’importe quel spécialiste, étant, le pre­mier, un philosophe passé à la sociologie, le second un géographe, ne se rangeaient ni l’un ni l’autre parmi les historiens à brevet.</w:t>
      </w:r>
    </w:p>
  </w:footnote>
  <w:footnote w:id="3">
    <w:p>
      <w:pPr>
        <w:pStyle w:val="Notedebasdepage"/>
      </w:pPr>
      <w:r>
        <w:rPr>
          <w:rStyle w:val="Appelnotedebasdep"/>
        </w:rPr>
        <w:footnoteRef/>
        <w:t xml:space="preserve"> </w:t>
      </w:r>
      <w:r>
        <w:rPr/>
        <w:t xml:space="preserve">Le Français anti-historien : Cournot, </w:t>
      </w:r>
      <w:r>
        <w:rPr>
          <w:i/>
        </w:rPr>
        <w:t xml:space="preserve">Souvenirs</w:t>
      </w:r>
      <w:r>
        <w:rPr/>
        <w:t xml:space="preserve">, p. 43, au sujet de l’absence de tout sentiment royaliste à la fin de l’Empire : « … Pour l’explication du fait singulier qui nous occupe, je crois qu’il faut aussi tenir compte du peu de popu­larité de notre histoire et du faible développement qu’a pris chez nous, dans les classes inférieures, par suite de causes qu’il serait trop long d’analyser, le sen­timent de la tradition historique. »</w:t>
      </w:r>
    </w:p>
  </w:footnote>
  <w:footnote w:id="4">
    <w:p>
      <w:pPr>
        <w:pStyle w:val="Notedebasdepage"/>
      </w:pPr>
      <w:r>
        <w:rPr>
          <w:rStyle w:val="Appelnotedebasdep"/>
        </w:rPr>
        <w:footnoteRef/>
        <w:t xml:space="preserve"> </w:t>
      </w:r>
      <w:r>
        <w:rPr/>
        <w:t xml:space="preserve">Fustel de Coulanges, Leçon d’ouverture de 1862, dans </w:t>
      </w:r>
      <w:r>
        <w:rPr>
          <w:i/>
        </w:rPr>
        <w:t xml:space="preserve">Revue de Synthèse historique</w:t>
      </w:r>
      <w:r>
        <w:rPr/>
        <w:t xml:space="preserve">, t. II, 1901, p. 243 ; Michelet, cours de l’École Normale, 1829, cité par G. Monod, </w:t>
      </w:r>
      <w:r>
        <w:rPr>
          <w:i/>
        </w:rPr>
        <w:t xml:space="preserve">La Vie et la Pensée de Jules Michelet</w:t>
      </w:r>
      <w:r>
        <w:rPr/>
        <w:t xml:space="preserve">, t. I, p. 127 : « Nous nous occuperons à la fois de l’étude de l’homme individuel, et ce sera la philosophie – et de l’étude de l’homme social, et ce sera l’histoire. » – Il convient d’ajouter que Fustel, plus tard, a dit dans une formule plus serrée et plus pleine dont le développement qu’on vient de lire ne fait guère, en somme, que donner un com­mentaire : « L’histoire n’est pas l’accumulation des événements de toute nature qui se sont produits dans le passé. Elle est la science des sociétés humaines. » – Mais c’est peut‑être réduire à l’excès, dans l’histoire, la part de l’individu ; l’homme en société et les sociétés ne sont pas deux notions exactement équivalentes.</w:t>
      </w:r>
    </w:p>
  </w:footnote>
  <w:footnote w:id="5">
    <w:p>
      <w:pPr>
        <w:pStyle w:val="Notedebasdepage"/>
      </w:pPr>
      <w:r>
        <w:rPr>
          <w:rStyle w:val="Appelnotedebasdep"/>
        </w:rPr>
        <w:footnoteRef/>
        <w:t xml:space="preserve"> </w:t>
      </w:r>
      <w:r>
        <w:rPr/>
        <w:t xml:space="preserve">« Pas l’homme encore une fois, jamais l’homme. Les sociétés humaines, les groupes organisés », Lucien Febvre, </w:t>
      </w:r>
      <w:r>
        <w:rPr>
          <w:i/>
        </w:rPr>
        <w:t xml:space="preserve">La Terre et l’évolution humaine</w:t>
      </w:r>
      <w:r>
        <w:rPr/>
        <w:t xml:space="preserve">, p. 201.</w:t>
      </w:r>
    </w:p>
  </w:footnote>
  <w:footnote w:id="6">
    <w:p>
      <w:pPr>
        <w:pStyle w:val="Notedebasdepage"/>
      </w:pPr>
      <w:r>
        <w:rPr>
          <w:rStyle w:val="Appelnotedebasdep"/>
        </w:rPr>
        <w:footnoteRef/>
        <w:t xml:space="preserve"> </w:t>
      </w:r>
      <w:r>
        <w:rPr/>
        <w:t xml:space="preserve">Préface aux </w:t>
      </w:r>
      <w:r>
        <w:rPr>
          <w:i/>
        </w:rPr>
        <w:t xml:space="preserve">Accessiones Historicae</w:t>
      </w:r>
      <w:r>
        <w:rPr/>
        <w:t xml:space="preserve"> (1700), Opéra, éd. Dutens, t. IV 2, p. 53 : « Tria sunt quae expetimus in Historia : primum, voluptatem nos cendi res sin­gulares ; deinde, utilia in primis vitae praecepta ; ac denique origines praesentium a praeteritis repetitas, cum omnia optime ex causis nos cantur. »</w:t>
      </w:r>
    </w:p>
  </w:footnote>
  <w:footnote w:id="7">
    <w:p>
      <w:pPr>
        <w:pStyle w:val="Notedebasdepage"/>
      </w:pPr>
      <w:r>
        <w:rPr>
          <w:rStyle w:val="Appelnotedebasdep"/>
        </w:rPr>
        <w:footnoteRef/>
        <w:t xml:space="preserve"> </w:t>
      </w:r>
      <w:r>
        <w:rPr/>
        <w:t xml:space="preserve">J’ai, dans ma jeunesse, entendu un très illustre érudit qui fut directeur de l’École des Chartes, nous dire assez fièrement : « Je date sans erreur l’écriture d’un manuscrit à une vingtaine d’années près. » Il n’oubliait qu’une chose : beau­coup d’hommes, de scribes, vivent plus de quarante ans – et, si les écritures parfois se modifient en vieillissant, c’est rarement pour s’adapter aux nouvelles écritures ambiantes. Il a dû y avoir, aux environs de 1200, des scribes qui, sexa­génaires, écrivaient encore comme on leur avait appris à le faire vers 1150. En fait, l’histoire de l’écriture retarde, étrangement, sur celle du langage. Elle attend son Diez – ou son Meillet.</w:t>
      </w:r>
    </w:p>
  </w:footnote>
  <w:footnote w:id="8">
    <w:p>
      <w:pPr>
        <w:pStyle w:val="Notedebasdepage"/>
      </w:pPr>
      <w:r>
        <w:rPr>
          <w:rStyle w:val="Appelnotedebasdep"/>
        </w:rPr>
        <w:footnoteRef/>
        <w:t xml:space="preserve"> </w:t>
      </w:r>
      <w:r>
        <w:rPr/>
        <w:t xml:space="preserve">À supposer que les chances de mortalité pour chacun des jours de l’année soit égales. Ce qui n’est pas exact (il y a une courbe annuelle de la mortalité) ; mais peut, sans inconvénients, être postulé ici.</w:t>
      </w:r>
    </w:p>
  </w:footnote>
  <w:footnote w:id="9">
    <w:p>
      <w:pPr>
        <w:pStyle w:val="Notedebasdepage"/>
      </w:pPr>
      <w:r>
        <w:rPr>
          <w:rStyle w:val="Appelnotedebasdep"/>
        </w:rPr>
        <w:footnoteRef/>
        <w:t xml:space="preserve"> </w:t>
      </w:r>
      <w:r>
        <w:rPr/>
        <w:t xml:space="preserve">Depuis la mort de Jean Colombini jusqu’à nos jours, 65 papes ont gouverné l’Église (y compris la double et triple série du temps du Grand Schisme) ; 38 se sont succédé depuis la mort d’Ignace. La première liste offre 55 Homonymes avec la seconde, où ces mêmes noms sont répétés exactement 38 fois (les papes ayant, comme l’on sait, coutume de reprendre des noms déjà honorés par l’usage). La probabilité pour que les Jésuites fussent supprimés par un de ces papes homonymes était donc de 55/65 ou 11/13 ; pour les Jésuites, elle montait à 38/38 ou 1 ; autrement dit, elle devenait certitude. La probabilité combinée est de 11/13 x 1 ou 11/13. Enfin 1/365° ou 1/133.225 x 11/13 donne 11/1731.925, soit un peu plus de 1/157.447. Pour être tout à fait exact, il faudrait tenir compte des durées respectives des pontificats. Mais la nature de ce divertissement mathématique, dont l’unique objet est de mettre en lumière un ordre de grandeur, m’a paru autoriser à sim­plifier les calculs.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