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Presque toutes les explications habituelles relatives aux phénomènes sociaux, la plupart de celles qui concernent l’homme intellectuel et moral, une grande partie de nos théories physiologiques ou médicales, et même aussi plusieurs théories chimiques, etc., rappellent encore directement l’étrange manière de philosopher si plaisamment caractérisée par Molière, sans aucune grave exagération, à l’occasion, par exemple, de la </w:t>
      </w:r>
      <w:r>
        <w:rPr>
          <w:i/>
        </w:rPr>
        <w:t xml:space="preserve">vertu dormitive de l’opium</w:t>
      </w:r>
      <w:r>
        <w:rPr/>
        <w:t xml:space="preserve">, conformément à l’ébranlement décisif que Descartes venait de faire subir à tout le régime des entités.</w:t>
      </w:r>
    </w:p>
  </w:footnote>
  <w:footnote w:id="2">
    <w:p>
      <w:pPr>
        <w:pStyle w:val="Notedebasdepage"/>
      </w:pPr>
      <w:r>
        <w:rPr>
          <w:rStyle w:val="Appelnotedebasdep"/>
        </w:rPr>
        <w:footnoteRef/>
        <w:t xml:space="preserve"> </w:t>
      </w:r>
      <w:r>
        <w:rPr/>
        <w:t xml:space="preserve"> Sur cette appréciation générale de l’esprit et de la marche propres à la méthode positive, on peut étudier, avec beaucoup de fruit, le précieux ouvrage intitulé : </w:t>
      </w:r>
      <w:r>
        <w:rPr>
          <w:rStyle w:val="title-c"/>
        </w:rPr>
        <w:t>A system of logic, ratiocinative and inductive</w:t>
      </w:r>
      <w:r>
        <w:rPr/>
        <w:t xml:space="preserve">, récemment publié à Londres (chez John Parker, West Strand, 1843), par mon éminent ami, M. John Stuart Mill, ainsi pleinement associé désormais à la fondation directe de la nouvelle philosophie. Les sept derniers chapitres du tome premier contiennent une admirable exposition dogmatique, aussi profonde que lumineuse, de la logique inductive, qui ne pourra jamais, j’ose l’assurer, être mieux conçue, ni mieux caractérisée en restant au point de vue où l’auteur s’est placé.</w:t>
      </w:r>
    </w:p>
  </w:footnote>
  <w:footnote w:id="3">
    <w:p>
      <w:pPr>
        <w:pStyle w:val="Notedebasdepage"/>
      </w:pPr>
      <w:r>
        <w:rPr>
          <w:rStyle w:val="Appelnotedebasdep"/>
        </w:rPr>
        <w:footnoteRef/>
        <w:t xml:space="preserve"> </w:t>
      </w:r>
      <w:r>
        <w:rPr/>
        <w:t xml:space="preserve"> Cette empirique prépondérance de l’esprit de détail chez la plupart des savants actuels, de leur aveugle antipathie envers toute généralisation quelconque, se trouvent beaucoup aggravées, surtout en France, par leur réunion habituelle en académies, où les divers préjuges analytiques se fortifient mutuellement, où d’ailleurs se développent des intérêts trop souvent abusifs, où enfin s’organise spontanément une sorte d’émeute permanente contre le régime synthétique qui doit désormais prévaloir. L’instinct de progrès qui caractérisait, il y a un demi-siècle, le génie révolutionnaire, avait confusément senti ces dangers essentiels, de manière à déterminer la suppression directe de ces compagnies arriérées, qui, ne convenant qu’à l’élaboration préliminaire de l’esprit positif, devenaient de plus en plus hostiles à sa systématisation finale. Quoique cette audacieuse mesure, si mal jugée d’ordinaire, fût alors prématurée, parce que ces graves inconvénients ne pouvaient encore être assez reconnus, il reste néanmoins certain que ces corporations scientifiques, avaient déjà accompli le principal office que comportait leur nature : depuis leur restauration, leur influence réelle a été, au fond, beaucoup plus nuisible qu’utile à la marche actuelle de la grande évolution mentale.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1282910.r=Discours+sur+l%27esprit+positif.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