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hyperlink r:id="ref14">
        <w:r>
          <w:rPr>
            <w:rStyle w:val="LienInternet"/>
          </w:rPr>
          <w:t xml:space="preserve">Gallica</w:t>
        </w:r>
      </w:hyperlink>
    </w:p>
  </w:footnote>
  <w:footnote w:id="2">
    <w:p>
      <w:pPr>
        <w:pStyle w:val="Notedebasdepage"/>
      </w:pPr>
      <w:r>
        <w:rPr>
          <w:rStyle w:val="Appelnotedebasdep"/>
        </w:rPr>
        <w:footnoteRef/>
        <w:t xml:space="preserve"> </w:t>
      </w:r>
      <w:r>
        <w:rPr/>
        <w:t xml:space="preserve">On peut avoir plus ou moins d’une qualité </w:t>
      </w:r>
      <w:r>
        <w:rPr>
          <w:i/>
        </w:rPr>
        <w:t xml:space="preserve">accidentelle</w:t>
      </w:r>
      <w:r>
        <w:rPr/>
        <w:t xml:space="preserve">, comme la mémoire, l’imagination, ou la force : mais le bon sens est un caractère de l’espèce humaine, elle en est douée par nature, en entier et sans degrés.</w:t>
      </w:r>
    </w:p>
  </w:footnote>
  <w:footnote w:id="3">
    <w:p>
      <w:pPr>
        <w:pStyle w:val="Notedebasdepage"/>
      </w:pPr>
      <w:r>
        <w:rPr>
          <w:rStyle w:val="Appelnotedebasdep"/>
        </w:rPr>
        <w:footnoteRef/>
        <w:t xml:space="preserve"> </w:t>
      </w:r>
      <w:r>
        <w:rPr/>
        <w:t xml:space="preserve">Cet intertitre et les 5 suivants sont tirés des </w:t>
      </w:r>
      <w:r>
        <w:rPr>
          <w:rStyle w:val="title-c"/>
        </w:rPr>
        <w:t>Méditations métaphysiques</w:t>
      </w:r>
      <w:r>
        <w:rPr/>
        <w:t xml:space="preserve"> de Descartes.</w:t>
      </w:r>
    </w:p>
  </w:footnote>
  <w:footnote w:id="4">
    <w:p>
      <w:pPr>
        <w:pStyle w:val="Notedebasdepage"/>
      </w:pPr>
      <w:r>
        <w:rPr>
          <w:rStyle w:val="Appelnotedebasdep"/>
        </w:rPr>
        <w:footnoteRef/>
        <w:t xml:space="preserve"> </w:t>
      </w:r>
      <w:r>
        <w:rPr/>
        <w:t xml:space="preserve">greffée</w:t>
      </w:r>
    </w:p>
  </w:footnote>
  <w:footnote w:id="5">
    <w:p>
      <w:pPr>
        <w:pStyle w:val="Notedebasdepage"/>
      </w:pPr>
      <w:r>
        <w:rPr>
          <w:rStyle w:val="Appelnotedebasdep"/>
        </w:rPr>
        <w:footnoteRef/>
        <w:t xml:space="preserve"> </w:t>
      </w:r>
      <w:r>
        <w:rPr/>
        <w:t xml:space="preserve">1633, condamnation de Galilée par l’Église de Rome, pour avoir défendu le système </w:t>
      </w:r>
      <w:r>
        <w:rPr>
          <w:i/>
        </w:rPr>
        <w:t xml:space="preserve">héliocentrique</w:t>
      </w:r>
      <w:r>
        <w:rPr/>
        <w:t xml:space="preserve"> (que la terre tourne autour du soleil).</w:t>
      </w:r>
    </w:p>
  </w:footnote>
  <w:footnote w:id="6">
    <w:p>
      <w:pPr>
        <w:pStyle w:val="Notedebasdepage"/>
      </w:pPr>
      <w:r>
        <w:rPr>
          <w:rStyle w:val="Appelnotedebasdep"/>
        </w:rPr>
        <w:footnoteRef/>
        <w:t xml:space="preserve"> </w:t>
      </w:r>
      <w:r>
        <w:rPr/>
        <w:t xml:space="preserve">1632, Descartes avait écrit le </w:t>
      </w:r>
      <w:r>
        <w:rPr>
          <w:rStyle w:val="title-c"/>
        </w:rPr>
        <w:t>Traité du monde et de la lumière</w:t>
      </w:r>
      <w:r>
        <w:rPr/>
        <w:t xml:space="preserve">, défendant entre autres, la thèse de l’héliocentrisme, en la rendant compatible avec les dogmes de l’Église de Rome. Après la condamnation de Galilée, il renonce à publier son traité du monde, qui n’est paru qu’après sa mort (1664). Cette cinquième partie du </w:t>
      </w:r>
      <w:r>
        <w:rPr>
          <w:rStyle w:val="title-c"/>
        </w:rPr>
        <w:t>discours de la Méthode</w:t>
      </w:r>
      <w:r>
        <w:rPr/>
        <w:t xml:space="preserve"> en détaille les contenus, à part ce qui concerne la cosmologie.</w:t>
      </w:r>
    </w:p>
  </w:footnote>
  <w:footnote w:id="7">
    <w:p>
      <w:pPr>
        <w:pStyle w:val="Notedebasdepage"/>
      </w:pPr>
      <w:r>
        <w:rPr>
          <w:rStyle w:val="Appelnotedebasdep"/>
        </w:rPr>
        <w:footnoteRef/>
        <w:t xml:space="preserve"> </w:t>
      </w:r>
      <w:r>
        <w:rPr/>
        <w:t xml:space="preserve">Descartes évoque ici sa théorie de la </w:t>
      </w:r>
      <w:r>
        <w:rPr>
          <w:i/>
        </w:rPr>
        <w:t xml:space="preserve">création continuée</w:t>
      </w:r>
      <w:r>
        <w:rPr/>
        <w:t xml:space="preserve">, selon laquelle Dieu a non seulement créé le monde, mais en plus il continue à le faire durer. Le cartésianisme est un mysticisme radical. Il suppose que le temps est une série d’instants que seul Dieu continue. Ainsi par exemple, Descartes constate et admet la conservation du mouvement d’un corps dans un monde sans frottement, l’inertie d’une boule de billard par exemple, mais au lieu d’en attribuer comme nous la cause à la masse du corps en mouvement (son énergie), il en fait la preuve que Dieu est partout et conduit tout dans sa création. C’est par cet artifice que Descartes pensait sauver la théorie de Galilée tout en augmentant la majesté divine. Ces thèses cartésiennes ont plus tard justifié des résistances à la physique de Newton (1642, 1727).</w:t>
      </w:r>
    </w:p>
  </w:footnote>
  <w:footnote w:id="8">
    <w:p>
      <w:pPr>
        <w:pStyle w:val="Notedebasdepage"/>
      </w:pPr>
      <w:r>
        <w:rPr>
          <w:rStyle w:val="Appelnotedebasdep"/>
        </w:rPr>
        <w:footnoteRef/>
        <w:t xml:space="preserve"> </w:t>
      </w:r>
      <w:r>
        <w:rPr/>
        <w:t xml:space="preserve">Artère pulmonaire.</w:t>
      </w:r>
    </w:p>
  </w:footnote>
  <w:footnote w:id="9">
    <w:p>
      <w:pPr>
        <w:pStyle w:val="Notedebasdepage"/>
      </w:pPr>
      <w:r>
        <w:rPr>
          <w:rStyle w:val="Appelnotedebasdep"/>
        </w:rPr>
        <w:footnoteRef/>
        <w:t xml:space="preserve"> </w:t>
      </w:r>
      <w:r>
        <w:rPr/>
        <w:t xml:space="preserve">Veine pulmonaire.</w:t>
      </w:r>
    </w:p>
  </w:footnote>
  <w:footnote w:id="10">
    <w:p>
      <w:pPr>
        <w:pStyle w:val="Notedebasdepage"/>
      </w:pPr>
      <w:r>
        <w:rPr>
          <w:rStyle w:val="Appelnotedebasdep"/>
        </w:rPr>
        <w:footnoteRef/>
        <w:t xml:space="preserve"> </w:t>
      </w:r>
      <w:r>
        <w:rPr/>
        <w:t xml:space="preserve">Harvey, William (1578, 1657), </w:t>
      </w:r>
      <w:r>
        <w:rPr>
          <w:rStyle w:val="title-c"/>
        </w:rPr>
        <w:t>De Motu Cordis</w:t>
      </w:r>
      <w:r>
        <w:rPr/>
        <w:t xml:space="preserve"> (1628) « le mouvement du cœur »</w:t>
      </w:r>
    </w:p>
  </w:footnote>
  <w:footnote w:id="11">
    <w:p>
      <w:pPr>
        <w:pStyle w:val="Notedebasdepage"/>
      </w:pPr>
      <w:r>
        <w:rPr>
          <w:rStyle w:val="Appelnotedebasdep"/>
        </w:rPr>
        <w:footnoteRef/>
        <w:t xml:space="preserve"> </w:t>
      </w:r>
      <w:r>
        <w:rPr/>
        <w:t xml:space="preserve">Galilée, 1633, </w:t>
      </w:r>
      <w:r>
        <w:rPr>
          <w:rStyle w:val="title-c"/>
        </w:rPr>
        <w:t> Dialogue sur les deux grands systèmes du monde</w:t>
      </w:r>
      <w:r>
        <w:rPr/>
        <w:t xml:space="preserve"> (systèmes géocentrique de Ptolémée, et héliocentrique de Copernic).</w:t>
      </w:r>
    </w:p>
  </w:footnote>
</w:footnot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gallica.bnf.fr/ark:/12148/btv1b86069594/f11.vertical#"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Relationship Target="https://gallica.bnf.fr/ark:/12148/btv1b86069594" TargetMode="External" Type="http://schemas.openxmlformats.org/officeDocument/2006/relationships/hyperlink" Id="ref14"/></Relationships>
</file>