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Mais, nous objecte-t-on, si la santé contient des éléments haïssables, comment la présenter, ainsi que nous faisons plus loin, comme l’objectif immédiat de la conduite ? ― Il n’y a à cela aucune contradiction. Il arrive sans cesse qu’une chose, tout en étant nuisible par certaines de ses conséquences, soit, par d’autres, utile ou même nécessaire à la vie ; or, si les mauvais effets qu’elle a sont régulièrement neutralisés par une influence contraire, il se trouve en fait qu’elle sert sans nuire, et cependant elle est toujours haïssable, car elle ne laisse pas de constituer par elle-même un danger éventuel qui n’est conjuré que par l’action d’une force antagoniste. C’est le cas du crime ; le tort qu’il fait à la société est annulé par la peine, si elle fonctionne régulièrement. Il reste donc que, sans produire le mal qu’il implique, il soutient avec les conditions fondamentales de la vie sociale les rapports positifs que nous verrons dans la suite. Seulement, comme c’est malgré lui, pour ainsi dire, qu’il est rendu inoffensif, les sentiments d’aversion dont il est l’objet ne laissent pas d’être fondés.</w:t>
      </w:r>
    </w:p>
  </w:footnote>
  <w:footnote w:id="2">
    <w:p>
      <w:pPr>
        <w:pStyle w:val="Notedebasdepage"/>
      </w:pPr>
      <w:r>
        <w:rPr>
          <w:rStyle w:val="Appelnotedebasdep"/>
        </w:rPr>
        <w:footnoteRef/>
        <w:t xml:space="preserve"> </w:t>
      </w:r>
      <w:r>
        <w:rPr/>
        <w:t xml:space="preserve"> C’est dire qu’il ne doit pas être confondu avec la métaphysique positiviste de Comte et de M. Spencer.</w:t>
      </w:r>
    </w:p>
  </w:footnote>
  <w:footnote w:id="3">
    <w:p>
      <w:pPr>
        <w:pStyle w:val="Notedebasdepage"/>
      </w:pPr>
      <w:r>
        <w:rPr>
          <w:rStyle w:val="Appelnotedebasdep"/>
        </w:rPr>
        <w:footnoteRef/>
        <w:t xml:space="preserve"> </w:t>
      </w:r>
      <w:r>
        <w:rPr/>
        <w:t xml:space="preserve"> On voit que, pour admettre cette proposition, il n’est pas nécessaire de soutenir que la vie sociale est faite d’autre chose que de représentations ; il suffit de poser que les représentations, individuelles ou collectives, ne peuvent être étudiées scientifiquement qu’à condition d’être étudiées objectivement.</w:t>
      </w:r>
    </w:p>
  </w:footnote>
  <w:footnote w:id="4">
    <w:p>
      <w:pPr>
        <w:pStyle w:val="Notedebasdepage"/>
      </w:pPr>
      <w:r>
        <w:rPr>
          <w:rStyle w:val="Appelnotedebasdep"/>
        </w:rPr>
        <w:footnoteRef/>
        <w:t xml:space="preserve"> </w:t>
      </w:r>
      <w:r>
        <w:rPr/>
        <w:t xml:space="preserve"> La proposition n’est, d’ailleurs, que partiellement exacte. ― Outre les individus, il y a les choses qui sont des éléments intégrants de la société. Il est vrai seulement que les individus en sont les seuls éléments actifs.</w:t>
      </w:r>
    </w:p>
  </w:footnote>
  <w:footnote w:id="5">
    <w:p>
      <w:pPr>
        <w:pStyle w:val="Notedebasdepage"/>
      </w:pPr>
      <w:r>
        <w:rPr>
          <w:rStyle w:val="Appelnotedebasdep"/>
        </w:rPr>
        <w:footnoteRef/>
        <w:t xml:space="preserve"> </w:t>
      </w:r>
      <w:r>
        <w:rPr/>
        <w:t xml:space="preserve"> Il est inutile de montrer comment, de ce point de vue, la nécessité d’étudier les faits du dehors apparaît plus évidente encore, puisqu’ils résultent de synthèses qui ont lieu hors de nous et dont nous n’avons même pas la perception confuse que la conscience peut nous donner des phénomènes intérieurs.</w:t>
      </w:r>
    </w:p>
  </w:footnote>
  <w:footnote w:id="6">
    <w:p>
      <w:pPr>
        <w:pStyle w:val="Notedebasdepage"/>
      </w:pPr>
      <w:r>
        <w:rPr>
          <w:rStyle w:val="Appelnotedebasdep"/>
        </w:rPr>
        <w:footnoteRef/>
        <w:t xml:space="preserve"> </w:t>
      </w:r>
      <w:r>
        <w:rPr/>
        <w:t xml:space="preserve"> Le pouvoir coercitif que nous lui attribuons est même si peu le tout du fait social, qu’il peut présenter également le caractère opposé. Car, en même temps que les institutions s’imposent à nous, nous y tenons ; elles nous obligent et nous les aimons ; elles nous contraignent et nous trouvons notre compte à leur fonctionnement et à cette contrainte même. Cette antithèse est celle que les moralistes ont souvent signalée entre les deux notions du bien et du devoir qui expriment deux aspects différents, mais également réels, de la vie morale. Or il n’est peut-être pas de pratiques collectives qui n’exercent sur nous cette double action, qui n’est, d’ailleurs, contradictoire qu’en apparence. Si nous ne les avons pas définies par cet attachement spécial, à la fois intéressé et désintéressé, c’est tout simplement qu’il ne se manifeste pas par des signes extérieurs, facilement perceptibles. Le bien a quelque chose de plus interne, de plus intime que le devoir, partant, de moins saisissable.</w:t>
      </w:r>
    </w:p>
  </w:footnote>
  <w:footnote w:id="7">
    <w:p>
      <w:pPr>
        <w:pStyle w:val="Notedebasdepage"/>
      </w:pPr>
      <w:r>
        <w:rPr>
          <w:rStyle w:val="Appelnotedebasdep"/>
        </w:rPr>
        <w:footnoteRef/>
        <w:t xml:space="preserve"> </w:t>
      </w:r>
      <w:r>
        <w:rPr/>
        <w:t xml:space="preserve"> Voir Art. « Sociologie » de la </w:t>
      </w:r>
      <w:r>
        <w:rPr>
          <w:rStyle w:val="title-c"/>
        </w:rPr>
        <w:t>Grande Encyclopédie</w:t>
      </w:r>
      <w:r>
        <w:rPr/>
        <w:t xml:space="preserve">, par MM. Fauconnet et Mauss.</w:t>
      </w:r>
    </w:p>
  </w:footnote>
  <w:footnote w:id="8">
    <w:p>
      <w:pPr>
        <w:pStyle w:val="Notedebasdepage"/>
      </w:pPr>
      <w:r>
        <w:rPr>
          <w:rStyle w:val="Appelnotedebasdep"/>
        </w:rPr>
        <w:footnoteRef/>
        <w:t xml:space="preserve"> </w:t>
      </w:r>
      <w:r>
        <w:rPr/>
        <w:t xml:space="preserve"> De ce que les croyances et les pratiques sociales nous pénètrent ainsi du dehors, il ne suit pas que nous les recevions passivement et sans leur faire subir de modification. En pensant les institutions collectives, en nous les assimilant, nous les individualisons, nous leur donnons plus ou moins notre marque personnelle ; c’est ainsi qu’en pensant le monde sensible chacun de nous le colore à sa façon et que des sujets différents s’adaptent différemment à un même milieu physique. C’est pourquoi chacun de nous se fait, dans une certaine mesure, sa morale, sa religion, sa technique. Il n’est pas de conformisme social qui ne comporte toute une gamme de nuances individuelles. Il n’en reste pas moins que le champ des variations permises est limité. Il est nul ou très faible dans le cercle des phénomènes religieux et moraux ou la variation devient aisément un crime ; il est plus étendu pour tout ce qui concerne la vie économique. Mais tôt ou tard, même dans ce dernier cas, on rencontre une limite qui ne peut être franchie.</w:t>
      </w:r>
    </w:p>
  </w:footnote>
  <w:footnote w:id="9">
    <w:p>
      <w:pPr>
        <w:pStyle w:val="Notedebasdepage"/>
      </w:pPr>
      <w:r>
        <w:rPr>
          <w:rStyle w:val="Appelnotedebasdep"/>
        </w:rPr>
        <w:footnoteRef/>
        <w:t xml:space="preserve"> </w:t>
      </w:r>
      <w:r>
        <w:rPr>
          <w:rStyle w:val="title-c"/>
        </w:rPr>
        <w:t>Système de Logique</w:t>
      </w:r>
      <w:r>
        <w:rPr/>
        <w:t xml:space="preserve">, l. VI, ch.VII-XII.</w:t>
      </w:r>
    </w:p>
  </w:footnote>
  <w:footnote w:id="10">
    <w:p>
      <w:pPr>
        <w:pStyle w:val="Notedebasdepage"/>
      </w:pPr>
      <w:r>
        <w:rPr>
          <w:rStyle w:val="Appelnotedebasdep"/>
        </w:rPr>
        <w:footnoteRef/>
        <w:t xml:space="preserve"> </w:t>
      </w:r>
      <w:r>
        <w:rPr/>
        <w:t xml:space="preserve"> V. 2e éd., p. 294-336.</w:t>
      </w:r>
    </w:p>
  </w:footnote>
  <w:footnote w:id="11">
    <w:p>
      <w:pPr>
        <w:pStyle w:val="Notedebasdepage"/>
      </w:pPr>
      <w:r>
        <w:rPr>
          <w:rStyle w:val="Appelnotedebasdep"/>
        </w:rPr>
        <w:footnoteRef/>
        <w:t xml:space="preserve"> </w:t>
      </w:r>
      <w:r>
        <w:rPr/>
        <w:t xml:space="preserve"> Ce n’est pas à dire, du reste, que toute contrainte soit normale. Nous reviendrons plus loin sur ce point.</w:t>
      </w:r>
    </w:p>
  </w:footnote>
  <w:footnote w:id="12">
    <w:p>
      <w:pPr>
        <w:pStyle w:val="Notedebasdepage"/>
      </w:pPr>
      <w:r>
        <w:rPr>
          <w:rStyle w:val="Appelnotedebasdep"/>
        </w:rPr>
        <w:footnoteRef/>
        <w:t xml:space="preserve"> </w:t>
      </w:r>
      <w:r>
        <w:rPr/>
        <w:t xml:space="preserve"> On ne se suicide pas à tout âge, ni, à tous les âges, avec la même intensité.</w:t>
      </w:r>
    </w:p>
  </w:footnote>
  <w:footnote w:id="13">
    <w:p>
      <w:pPr>
        <w:pStyle w:val="Notedebasdepage"/>
      </w:pPr>
      <w:r>
        <w:rPr>
          <w:rStyle w:val="Appelnotedebasdep"/>
        </w:rPr>
        <w:footnoteRef/>
        <w:t xml:space="preserve"> </w:t>
      </w:r>
      <w:r>
        <w:rPr/>
        <w:t xml:space="preserve"> On voit combien cette définition du fait social s’éloigne de celle qui sert de base à l’ingénieux système de M. Tarde. D’abord, nous devons déclarer que nos recherches ne nous ont nulle part fait constater cette influence prépondérante que M. Tarde attribue à l’imitation dans la genèse des faits collectifs. De plus, de la définition précédente, qui n’est pas une théorie mais un simple résumé des données immédiates de l’observation, il semble bien résulter que l’imitation, non seulement n’exprime pas toujours, mais même n’exprime jamais ce qu’il y a d’essentiel et de caractéristique dans le fait social. Sans doute, tout fait social est imité, il a, comme nous venons de le montrer, une tendance à se généraliser, mais c’est parce qu’il est social, c’est-à-dire obligatoire. Sa puissance d’expansion est, non la cause, mais la conséquence de son caractère sociologique. Si encore les faits sociaux étaient seuls à produire cette conséquence, l’imitation pourrait servir, sinon à les expliquer, du moins à les définir. Mais un état individuel qui fait ricochet ne laisse pas pour cela d’être individuel. De plus, on peut se demander si le mot d’imitation est bien celui qui convient pour désigner une propagation due à une influence coercitive. Sous cette unique expression, on confond des phénomènes très différents et qui auraient besoin d’être distingués.</w:t>
      </w:r>
    </w:p>
  </w:footnote>
  <w:footnote w:id="14">
    <w:p>
      <w:pPr>
        <w:pStyle w:val="Notedebasdepage"/>
      </w:pPr>
      <w:r>
        <w:rPr>
          <w:rStyle w:val="Appelnotedebasdep"/>
        </w:rPr>
        <w:footnoteRef/>
        <w:t xml:space="preserve"> </w:t>
      </w:r>
      <w:r>
        <w:rPr/>
        <w:t xml:space="preserve"> Cette parenté étroite de la vie et de la structure, de l’organe et de la fonction peut être facilement établie en sociologie parce que, entre ces deux termes extrêmes, il existe toute une série d’intermédiaires immédiatement observables et qui montre le lien entre eux. La biologie n’a pas la même ressource. Mais il est permis de croire que les inductions de la première de ces sciences sur ce sujet sont applicables à l’autre et que, dans les organismes comme dans les sociétés, il n’y a entre ces deux ordres de faits que des différences de degré.</w:t>
      </w:r>
    </w:p>
  </w:footnote>
  <w:footnote w:id="15">
    <w:p>
      <w:pPr>
        <w:pStyle w:val="Notedebasdepage"/>
      </w:pPr>
      <w:r>
        <w:rPr>
          <w:rStyle w:val="Appelnotedebasdep"/>
        </w:rPr>
        <w:footnoteRef/>
        <w:t xml:space="preserve"> </w:t>
      </w:r>
      <w:r>
        <w:rPr>
          <w:i/>
        </w:rPr>
        <w:t xml:space="preserve">Novum organum</w:t>
      </w:r>
      <w:r>
        <w:rPr/>
        <w:t xml:space="preserve">, I, 26.</w:t>
      </w:r>
    </w:p>
  </w:footnote>
  <w:footnote w:id="16">
    <w:p>
      <w:pPr>
        <w:pStyle w:val="Notedebasdepage"/>
      </w:pPr>
      <w:r>
        <w:rPr>
          <w:rStyle w:val="Appelnotedebasdep"/>
        </w:rPr>
        <w:footnoteRef/>
        <w:t xml:space="preserve"> </w:t>
      </w:r>
      <w:r>
        <w:rPr>
          <w:i/>
        </w:rPr>
        <w:t xml:space="preserve">Ibid.</w:t>
      </w:r>
      <w:r>
        <w:rPr/>
        <w:t xml:space="preserve">, I, 11.</w:t>
      </w:r>
    </w:p>
  </w:footnote>
  <w:footnote w:id="17">
    <w:p>
      <w:pPr>
        <w:pStyle w:val="Notedebasdepage"/>
      </w:pPr>
      <w:r>
        <w:rPr>
          <w:rStyle w:val="Appelnotedebasdep"/>
        </w:rPr>
        <w:footnoteRef/>
        <w:t xml:space="preserve"> </w:t>
      </w:r>
      <w:r>
        <w:rPr>
          <w:i/>
        </w:rPr>
        <w:t xml:space="preserve">Ibid.</w:t>
      </w:r>
      <w:r>
        <w:rPr/>
        <w:t xml:space="preserve">, I, 36.</w:t>
      </w:r>
    </w:p>
  </w:footnote>
  <w:footnote w:id="18">
    <w:p>
      <w:pPr>
        <w:pStyle w:val="Notedebasdepage"/>
      </w:pPr>
      <w:r>
        <w:rPr>
          <w:rStyle w:val="Appelnotedebasdep"/>
        </w:rPr>
        <w:footnoteRef/>
        <w:t xml:space="preserve"> </w:t>
      </w:r>
      <w:r>
        <w:rPr>
          <w:rStyle w:val="title-c"/>
        </w:rPr>
        <w:t>Sociol.</w:t>
      </w:r>
      <w:r>
        <w:rPr/>
        <w:t xml:space="preserve"> Tr. fr., III, 331, 332.</w:t>
      </w:r>
    </w:p>
  </w:footnote>
  <w:footnote w:id="19">
    <w:p>
      <w:pPr>
        <w:pStyle w:val="Notedebasdepage"/>
      </w:pPr>
      <w:r>
        <w:rPr>
          <w:rStyle w:val="Appelnotedebasdep"/>
        </w:rPr>
        <w:footnoteRef/>
        <w:t xml:space="preserve"> </w:t>
      </w:r>
      <w:r>
        <w:rPr>
          <w:rStyle w:val="title-c"/>
        </w:rPr>
        <w:t>Sociol.</w:t>
      </w:r>
      <w:r>
        <w:rPr/>
        <w:t xml:space="preserve">, III, 332.</w:t>
      </w:r>
    </w:p>
  </w:footnote>
  <w:footnote w:id="20">
    <w:p>
      <w:pPr>
        <w:pStyle w:val="Notedebasdepage"/>
      </w:pPr>
      <w:r>
        <w:rPr>
          <w:rStyle w:val="Appelnotedebasdep"/>
        </w:rPr>
        <w:footnoteRef/>
        <w:t xml:space="preserve"> </w:t>
      </w:r>
      <w:r>
        <w:rPr/>
        <w:t xml:space="preserve">  Conception, d’ailleurs, controversable. (V. </w:t>
      </w:r>
      <w:r>
        <w:rPr>
          <w:rStyle w:val="title-c"/>
        </w:rPr>
        <w:t>Division du travail social</w:t>
      </w:r>
      <w:r>
        <w:rPr/>
        <w:t xml:space="preserve">, II, 2, § 4.)</w:t>
      </w:r>
    </w:p>
  </w:footnote>
  <w:footnote w:id="21">
    <w:p>
      <w:pPr>
        <w:pStyle w:val="Notedebasdepage"/>
      </w:pPr>
      <w:r>
        <w:rPr>
          <w:rStyle w:val="Appelnotedebasdep"/>
        </w:rPr>
        <w:footnoteRef/>
        <w:t xml:space="preserve"> </w:t>
      </w:r>
      <w:r>
        <w:rPr>
          <w:rStyle w:val="quote"/>
        </w:rPr>
        <w:t xml:space="preserve">« La coopération ne saurait donc exister sans société, et c’est le but pour lequel une société existe. »</w:t>
      </w:r>
      <w:r>
        <w:rPr/>
        <w:t xml:space="preserve"> (</w:t>
      </w:r>
      <w:r>
        <w:rPr>
          <w:rStyle w:val="title-c"/>
        </w:rPr>
        <w:t>Principes de Sociol.</w:t>
      </w:r>
      <w:r>
        <w:rPr/>
        <w:t xml:space="preserve">, III, 332.)</w:t>
      </w:r>
    </w:p>
  </w:footnote>
  <w:footnote w:id="22">
    <w:p>
      <w:pPr>
        <w:pStyle w:val="Notedebasdepage"/>
      </w:pPr>
      <w:r>
        <w:rPr>
          <w:rStyle w:val="Appelnotedebasdep"/>
        </w:rPr>
        <w:footnoteRef/>
        <w:t xml:space="preserve"> </w:t>
      </w:r>
      <w:r>
        <w:rPr>
          <w:rStyle w:val="title-c"/>
        </w:rPr>
        <w:t>Système de Logique</w:t>
      </w:r>
      <w:r>
        <w:rPr/>
        <w:t xml:space="preserve">, Ill, p. 496.</w:t>
      </w:r>
    </w:p>
  </w:footnote>
  <w:footnote w:id="23">
    <w:p>
      <w:pPr>
        <w:pStyle w:val="Notedebasdepage"/>
      </w:pPr>
      <w:r>
        <w:rPr>
          <w:rStyle w:val="Appelnotedebasdep"/>
        </w:rPr>
        <w:footnoteRef/>
        <w:t xml:space="preserve"> </w:t>
      </w:r>
      <w:r>
        <w:rPr/>
        <w:t xml:space="preserve"> Ce caractère ressort des expressions mêmes employées par les économistes. Il est sans cesse question d’idées, de l’idée d’utile, de l’idée d’épargne, de placement, de dépense. (V. Gide, </w:t>
      </w:r>
      <w:r>
        <w:rPr>
          <w:rStyle w:val="title-c"/>
        </w:rPr>
        <w:t>Principes d’économie politique</w:t>
      </w:r>
      <w:r>
        <w:rPr/>
        <w:t xml:space="preserve">, liv. III, ch. I, § 1 ; ch. II, § 1 ; ch. III, § 1.)</w:t>
      </w:r>
    </w:p>
  </w:footnote>
  <w:footnote w:id="24">
    <w:p>
      <w:pPr>
        <w:pStyle w:val="Notedebasdepage"/>
      </w:pPr>
      <w:r>
        <w:rPr>
          <w:rStyle w:val="Appelnotedebasdep"/>
        </w:rPr>
        <w:footnoteRef/>
        <w:t xml:space="preserve"> </w:t>
      </w:r>
      <w:r>
        <w:rPr/>
        <w:t xml:space="preserve"> Il est vrai que la complexité plus grande des faits sociaux en rend la science plus malaisée. Mais, par compensation, précisément parce que la sociologie est la dernière venue, elle est en état de profiter des progrès réalisés par les sciences inférieures et de s’instruire à leur école. Cette utilisation des expériences faites ne peut manquer d’en accélérer le développement.</w:t>
      </w:r>
    </w:p>
  </w:footnote>
  <w:footnote w:id="25">
    <w:p>
      <w:pPr>
        <w:pStyle w:val="Notedebasdepage"/>
      </w:pPr>
      <w:r>
        <w:rPr>
          <w:rStyle w:val="Appelnotedebasdep"/>
        </w:rPr>
        <w:footnoteRef/>
        <w:t xml:space="preserve"> </w:t>
      </w:r>
      <w:r>
        <w:rPr/>
        <w:t xml:space="preserve"> J. Darmesteter, </w:t>
      </w:r>
      <w:r>
        <w:rPr>
          <w:rStyle w:val="title-c"/>
        </w:rPr>
        <w:t>Les prophètes d’Israël</w:t>
      </w:r>
      <w:r>
        <w:rPr/>
        <w:t xml:space="preserve">, p. 9.</w:t>
      </w:r>
    </w:p>
  </w:footnote>
  <w:footnote w:id="26">
    <w:p>
      <w:pPr>
        <w:pStyle w:val="Notedebasdepage"/>
      </w:pPr>
      <w:r>
        <w:rPr>
          <w:rStyle w:val="Appelnotedebasdep"/>
        </w:rPr>
        <w:footnoteRef/>
        <w:t xml:space="preserve"> </w:t>
      </w:r>
      <w:r>
        <w:rPr/>
        <w:t xml:space="preserve"> Dans la pratique, c’est toujours du concept vulgaire et du mot vulgaire que l’on part. On cherche si, parmi les choses que connote confusément ce mot, il en est qui présentent des caractères extérieurs communs. S’il y en a et si le concept formé par le groupement des faits ainsi rapprochés coïncide, sinon totalement (ce qui est rare), du moins en majeure partie, avec le concept vulgaire, on pourra continuer à désigner le premier par le même mot que le second et garder dans la science l’expression usitée dans la langue courante. Mais si l’écart est trop considérable, si la notion commune confond une pluralité de notions distinctes, la création de termes nouveaux et spéciaux s’impose.</w:t>
      </w:r>
    </w:p>
  </w:footnote>
  <w:footnote w:id="27">
    <w:p>
      <w:pPr>
        <w:pStyle w:val="Notedebasdepage"/>
      </w:pPr>
      <w:r>
        <w:rPr>
          <w:rStyle w:val="Appelnotedebasdep"/>
        </w:rPr>
        <w:footnoteRef/>
        <w:t xml:space="preserve"> </w:t>
      </w:r>
      <w:r>
        <w:rPr/>
        <w:t xml:space="preserve"> C’est la même absence de définition qui a fait dire parfois que la démocratie se rencontrait également au commencement et à la fin de l’histoire. La vérité, c’est que la démocratie primitive et celle d’aujourd’hui sont très différentes l’une de l’autre.</w:t>
      </w:r>
    </w:p>
  </w:footnote>
  <w:footnote w:id="28">
    <w:p>
      <w:pPr>
        <w:pStyle w:val="Notedebasdepage"/>
      </w:pPr>
      <w:r>
        <w:rPr>
          <w:rStyle w:val="Appelnotedebasdep"/>
        </w:rPr>
        <w:footnoteRef/>
        <w:t xml:space="preserve"> </w:t>
      </w:r>
      <w:r>
        <w:rPr>
          <w:rStyle w:val="title-c"/>
        </w:rPr>
        <w:t>Criminologie</w:t>
      </w:r>
      <w:r>
        <w:rPr/>
        <w:t xml:space="preserve">, p. 2.</w:t>
      </w:r>
    </w:p>
  </w:footnote>
  <w:footnote w:id="29">
    <w:p>
      <w:pPr>
        <w:pStyle w:val="Notedebasdepage"/>
      </w:pPr>
      <w:r>
        <w:rPr>
          <w:rStyle w:val="Appelnotedebasdep"/>
        </w:rPr>
        <w:footnoteRef/>
        <w:t xml:space="preserve"> </w:t>
      </w:r>
      <w:r>
        <w:rPr/>
        <w:t xml:space="preserve"> V. Lubbock, </w:t>
      </w:r>
      <w:r>
        <w:rPr>
          <w:rStyle w:val="title-c"/>
        </w:rPr>
        <w:t>Les Origines de la civilisation</w:t>
      </w:r>
      <w:r>
        <w:rPr/>
        <w:t xml:space="preserve">, ch. VIII. — Plus généralement encore, on dit, non moins faussement, que les religions anciennes sont amorales ou immorales. La vérité est qu’elles ont leur morale à elles.</w:t>
      </w:r>
    </w:p>
  </w:footnote>
  <w:footnote w:id="30">
    <w:p>
      <w:pPr>
        <w:pStyle w:val="Notedebasdepage"/>
      </w:pPr>
      <w:r>
        <w:rPr>
          <w:rStyle w:val="Appelnotedebasdep"/>
        </w:rPr>
        <w:footnoteRef/>
        <w:t xml:space="preserve"> </w:t>
      </w:r>
      <w:r>
        <w:rPr/>
        <w:t xml:space="preserve"> Il faudrait, par exemple, avoir des raisons de croire que, à un moment donné, le droit n’exprime plus l’état véritable des relations sociales, pour que cette substitution ne fût pas légitime.</w:t>
      </w:r>
    </w:p>
  </w:footnote>
  <w:footnote w:id="31">
    <w:p>
      <w:pPr>
        <w:pStyle w:val="Notedebasdepage"/>
      </w:pPr>
      <w:r>
        <w:rPr>
          <w:rStyle w:val="Appelnotedebasdep"/>
        </w:rPr>
        <w:footnoteRef/>
        <w:t xml:space="preserve"> </w:t>
      </w:r>
      <w:r>
        <w:rPr/>
        <w:t xml:space="preserve"> V </w:t>
      </w:r>
      <w:r>
        <w:rPr>
          <w:rStyle w:val="title-c"/>
        </w:rPr>
        <w:t>Division du travail social</w:t>
      </w:r>
      <w:r>
        <w:rPr/>
        <w:t xml:space="preserve">, l. I.</w:t>
      </w:r>
    </w:p>
  </w:footnote>
  <w:footnote w:id="32">
    <w:p>
      <w:pPr>
        <w:pStyle w:val="Notedebasdepage"/>
      </w:pPr>
      <w:r>
        <w:rPr>
          <w:rStyle w:val="Appelnotedebasdep"/>
        </w:rPr>
        <w:footnoteRef/>
        <w:t xml:space="preserve"> </w:t>
      </w:r>
      <w:r>
        <w:rPr/>
        <w:t xml:space="preserve"> Cf. notre </w:t>
      </w:r>
      <w:r>
        <w:rPr>
          <w:rStyle w:val="title-c"/>
        </w:rPr>
        <w:t>Introduction à la Sociologie de la famille</w:t>
      </w:r>
      <w:r>
        <w:rPr/>
        <w:t xml:space="preserve">, in </w:t>
      </w:r>
      <w:r>
        <w:rPr>
          <w:rStyle w:val="title-c"/>
        </w:rPr>
        <w:t>Annales de la Faculté des lettres de Bordeaux</w:t>
      </w:r>
      <w:r>
        <w:rPr/>
        <w:t xml:space="preserve">, année 1889.</w:t>
      </w:r>
    </w:p>
  </w:footnote>
  <w:footnote w:id="33">
    <w:p>
      <w:pPr>
        <w:pStyle w:val="Notedebasdepage"/>
      </w:pPr>
      <w:r>
        <w:rPr>
          <w:rStyle w:val="Appelnotedebasdep"/>
        </w:rPr>
        <w:footnoteRef/>
        <w:t xml:space="preserve"> </w:t>
      </w:r>
      <w:r>
        <w:rPr/>
        <w:t xml:space="preserve"> On peut distinguer par là la maladie de la monstruosité. La seconde n’est une exception que dans l’espace ; elle ne se rencontre pas dans la moyenne de l’espèce, mais elle dure toute la vie des individus où elle se rencontre. On voit, du reste, que ces deux ordres de faits ne diffèrent qu’en degrés et sont au fond de même nature ; les frontières entre eux sont très indécises, car la maladie n’est pas incapable de toute fixité, ni la monstruosité de tout devenir. On ne peut donc guère les séparer radicalement quand on les définit. La distinction entre eux ne peut être plus catégorique qu’entre le morphologique et le physiologique, puisque, en somme, le morbide est l’anormal dans l’ordre physiologique comme le tératologique est l’anormal dans l’ordre anatomique.</w:t>
      </w:r>
    </w:p>
  </w:footnote>
  <w:footnote w:id="34">
    <w:p>
      <w:pPr>
        <w:pStyle w:val="Notedebasdepage"/>
      </w:pPr>
      <w:r>
        <w:rPr>
          <w:rStyle w:val="Appelnotedebasdep"/>
        </w:rPr>
        <w:footnoteRef/>
        <w:t xml:space="preserve"> </w:t>
      </w:r>
      <w:r>
        <w:rPr/>
        <w:t xml:space="preserve"> Par exemple, le sauvage qui aurait le tube digestif réduit et le système nerveux développé du civilisé sain serait un malade par rapport à son milieu.</w:t>
      </w:r>
    </w:p>
  </w:footnote>
  <w:footnote w:id="35">
    <w:p>
      <w:pPr>
        <w:pStyle w:val="Notedebasdepage"/>
      </w:pPr>
      <w:r>
        <w:rPr>
          <w:rStyle w:val="Appelnotedebasdep"/>
        </w:rPr>
        <w:footnoteRef/>
        <w:t xml:space="preserve"> </w:t>
      </w:r>
      <w:r>
        <w:rPr/>
        <w:t xml:space="preserve"> Nous abrégeons cette partie de notre développement ; car nous ne pouvons que répéter ici à propos des faits sociaux en général ce que nous avons dit ailleurs à propos de la distinction des faits moraux en normaux et anormaux.(V. </w:t>
      </w:r>
      <w:r>
        <w:rPr>
          <w:rStyle w:val="title-c"/>
        </w:rPr>
        <w:t>Division du travail social</w:t>
      </w:r>
      <w:r>
        <w:rPr/>
        <w:t xml:space="preserve">, p. 33-39.)</w:t>
      </w:r>
    </w:p>
  </w:footnote>
  <w:footnote w:id="36">
    <w:p>
      <w:pPr>
        <w:pStyle w:val="Notedebasdepage"/>
      </w:pPr>
      <w:r>
        <w:rPr>
          <w:rStyle w:val="Appelnotedebasdep"/>
        </w:rPr>
        <w:footnoteRef/>
        <w:t xml:space="preserve"> </w:t>
      </w:r>
      <w:r>
        <w:rPr/>
        <w:t xml:space="preserve"> M. Garofalo a essayé, il est vrai, de distinguer le morbide de l’anormal (</w:t>
      </w:r>
      <w:r>
        <w:rPr>
          <w:rStyle w:val="title-c"/>
        </w:rPr>
        <w:t>Criminologie</w:t>
      </w:r>
      <w:r>
        <w:rPr/>
        <w:t xml:space="preserve">, p. 109, 110). Mais les deux seuls arguments sur lesquels il appuie cette distinction sont les suivants : l° Le mot de maladie signifie toujours quelque chose qui tend à la destruction totale ou partielle de l’organisme ; s’il n’y a pas destruction, il y a guérison, jamais stabilité comme dans plusieurs anomalies. Mais nous venons de voir que l’anormal, lui aussi, est une menace pour le vivant dans la moyenne des cas. Il est vrai qu’il n’en est pas toujours ainsi ; mais les dangers qu’implique la maladie n’existent également que dans la généralité des circonstances. Quant à l’absence de stabilité qui distinguerait le morbide, c’est oublier les maladies chroniques et séparer radicalement le tératologique du pathologique. Les monstruosités sont fixes. 2° Le normal et l’anormal varient avec les races, dit-on, tandis que la distinction du physiologique et du pathologique est valable pour tout le </w:t>
      </w:r>
      <w:r>
        <w:rPr>
          <w:i/>
        </w:rPr>
        <w:t xml:space="preserve">genus homo</w:t>
      </w:r>
      <w:r>
        <w:rPr/>
        <w:t xml:space="preserve">. Nous venons de montrer au contraire que, souvent, ce qui est morbide pour le sauvage ne l’est pas pour le civilisé. Les conditions de la santé physique varient avec les milieux.</w:t>
      </w:r>
    </w:p>
  </w:footnote>
  <w:footnote w:id="37">
    <w:p>
      <w:pPr>
        <w:pStyle w:val="Notedebasdepage"/>
      </w:pPr>
      <w:r>
        <w:rPr>
          <w:rStyle w:val="Appelnotedebasdep"/>
        </w:rPr>
        <w:footnoteRef/>
        <w:t xml:space="preserve"> </w:t>
      </w:r>
      <w:r>
        <w:rPr/>
        <w:t xml:space="preserve"> On peut se demander, il est vrai, si, quand un phénomène dérive nécessairement des conditions générales de la vie, il n’est pas utile par cela même. Nous ne pouvons traiter cette question de philosophie. Nous y touchons pourtant un peu plus loin.</w:t>
      </w:r>
    </w:p>
  </w:footnote>
  <w:footnote w:id="38">
    <w:p>
      <w:pPr>
        <w:pStyle w:val="Notedebasdepage"/>
      </w:pPr>
      <w:r>
        <w:rPr>
          <w:rStyle w:val="Appelnotedebasdep"/>
        </w:rPr>
        <w:footnoteRef/>
        <w:t xml:space="preserve"> </w:t>
      </w:r>
      <w:r>
        <w:rPr/>
        <w:t xml:space="preserve"> V. sur ce point une note que nous avons publiée dans la </w:t>
      </w:r>
      <w:r>
        <w:rPr>
          <w:rStyle w:val="title-c"/>
        </w:rPr>
        <w:t>Revue philosophique</w:t>
      </w:r>
      <w:r>
        <w:rPr/>
        <w:t xml:space="preserve"> (n° de novembre 1893) sur </w:t>
      </w:r>
      <w:r>
        <w:rPr>
          <w:rStyle w:val="title-c"/>
        </w:rPr>
        <w:t>La Définition du socialisme</w:t>
      </w:r>
      <w:r>
        <w:rPr/>
        <w:t xml:space="preserve">.</w:t>
      </w:r>
    </w:p>
  </w:footnote>
  <w:footnote w:id="39">
    <w:p>
      <w:pPr>
        <w:pStyle w:val="Notedebasdepage"/>
      </w:pPr>
      <w:r>
        <w:rPr>
          <w:rStyle w:val="Appelnotedebasdep"/>
        </w:rPr>
        <w:footnoteRef/>
        <w:t xml:space="preserve"> </w:t>
      </w:r>
      <w:r>
        <w:rPr/>
        <w:t xml:space="preserve"> Les sociétés segmentaires, et notamment les sociétés segmentaires à base territoriale, sont celles dont les articulations essentielles correspondent aux divisions territoriales. (V. </w:t>
      </w:r>
      <w:r>
        <w:rPr>
          <w:rStyle w:val="title-c"/>
        </w:rPr>
        <w:t>Division du travail social</w:t>
      </w:r>
      <w:r>
        <w:rPr/>
        <w:t xml:space="preserve">, p. 189-210.)</w:t>
      </w:r>
    </w:p>
  </w:footnote>
  <w:footnote w:id="40">
    <w:p>
      <w:pPr>
        <w:pStyle w:val="Notedebasdepage"/>
      </w:pPr>
      <w:r>
        <w:rPr>
          <w:rStyle w:val="Appelnotedebasdep"/>
        </w:rPr>
        <w:footnoteRef/>
        <w:t xml:space="preserve"> </w:t>
      </w:r>
      <w:r>
        <w:rPr/>
        <w:t xml:space="preserve"> Dans certains cas, on peut procéder un peu différemment et démontrer qu’un fait dont le caractère normal est suspecté, mérite ou non cette suspicion, en faisant voir qu’il se rattache étroitement au développement antérieur du type social considéré, et même à l’ensemble de l’évolution sociale en général, ou bien, au contraire, qu’il contredit l’un et l’autre. C’est de cette manière que nous avons pu démontrer que l’affaiblissement actuel des croyances religieuses, plus généralement, des sentiments collectifs à objets collectifs n’a rien que de normal ; nous avons prouvé que cet affaiblissement devient de plus en plus accusé à mesure que les sociétés se rapprochent de notre type actuel et que celui-ci, à son tour, est plus développé (</w:t>
      </w:r>
      <w:r>
        <w:rPr>
          <w:rStyle w:val="title-c"/>
        </w:rPr>
        <w:t>Division du travail social</w:t>
      </w:r>
      <w:r>
        <w:rPr/>
        <w:t xml:space="preserve">, p. 73-182). Mais, au fond, cette méthode n’est qu’un cas particulier de la précédente. Car si la normalité de ce phénomène a pu être établie de cette façon, c’est que, du même coup, il a été rattaché aux conditions les plus générales de notre existence collective. En effet, d’une part, si cette régression de la conscience religieuse est d’autant plus marquée que la structure de nos sociétés est plus déterminée, c’est qu’elle tient, non à quelque cause accidentelle, mais à la constitution même de notre milieu social, et comme, d’un autre côté, les particularités caractéristiques de cette dernière sont certainement plus développées aujourd’hui que naguère, il n’y a rien que de normal à ce que les phénomènes qui en dépendent soient eux-mêmes amplifiés. Cette méthode diffère seulement de la précédente en ce que les conditions qui expliquent et justifient la généralité du phénomène sont induites et non directement observées. On sait qu’il tient à la nature du milieu social sans savoir en quoi ni comment.</w:t>
      </w:r>
    </w:p>
  </w:footnote>
  <w:footnote w:id="41">
    <w:p>
      <w:pPr>
        <w:pStyle w:val="Notedebasdepage"/>
      </w:pPr>
      <w:r>
        <w:rPr>
          <w:rStyle w:val="Appelnotedebasdep"/>
        </w:rPr>
        <w:footnoteRef/>
        <w:t xml:space="preserve"> </w:t>
      </w:r>
      <w:r>
        <w:rPr/>
        <w:t xml:space="preserve"> Mais alors, dira-t-on, la réalisation du type normal n’est pas l’objectif le plus élevé qu’on puisse se proposer et, pour le dépasser, il faut aussi dépasser la science. Nous n’avons pas à traiter ici cette question </w:t>
      </w:r>
      <w:r>
        <w:rPr>
          <w:i/>
        </w:rPr>
        <w:t xml:space="preserve">ex professo</w:t>
      </w:r>
      <w:r>
        <w:rPr/>
        <w:t xml:space="preserve">; répondons seulement : 1° qu’elle est toute théorique, car, en fait, le type normal, l’état de santé est déjà assez difficile à réaliser et assez rarement atteint pour que nous ne nous travaillions pas l’imagination à chercher quelque chose de mieux ; 2° que ces améliorations, objectivement plus avantageuses, ne sont pas objectivement désirables pour cela ; car si elles ne répondent à aucune tendance latente ou en acte, elles n’ajouteraient rien au bonheur, et si elles répondent à quelque tendance, c’est que le type normal n’est pas réalisé; 3° enfin que, pour améliorer le type normal, il faut le connaître. On ne peut donc, en tout cas, dépasser la science qu’en s’appuyant sur elle.</w:t>
      </w:r>
    </w:p>
  </w:footnote>
  <w:footnote w:id="42">
    <w:p>
      <w:pPr>
        <w:pStyle w:val="Notedebasdepage"/>
      </w:pPr>
      <w:r>
        <w:rPr>
          <w:rStyle w:val="Appelnotedebasdep"/>
        </w:rPr>
        <w:footnoteRef/>
        <w:t xml:space="preserve"> </w:t>
      </w:r>
      <w:r>
        <w:rPr/>
        <w:t xml:space="preserve"> De ce que le crime est un phénomène de sociologie normale, il ne suit pas que le criminel soit un individu normalement constitué au point de vue biologique et psychologique. Les deux questions sont indépendantes l’une de l’autre. On comprendra mieux cette indépendance, quand nous aurons montré plus loin la différence qu’il y a entre les faits psychiques et les faits sociologiques.</w:t>
      </w:r>
    </w:p>
  </w:footnote>
  <w:footnote w:id="43">
    <w:p>
      <w:pPr>
        <w:pStyle w:val="Notedebasdepage"/>
      </w:pPr>
      <w:r>
        <w:rPr>
          <w:rStyle w:val="Appelnotedebasdep"/>
        </w:rPr>
        <w:footnoteRef/>
        <w:t xml:space="preserve"> </w:t>
      </w:r>
      <w:r>
        <w:rPr/>
        <w:t xml:space="preserve"> Calomnies, injures, diffamation, dol, etc.</w:t>
      </w:r>
    </w:p>
  </w:footnote>
  <w:footnote w:id="44">
    <w:p>
      <w:pPr>
        <w:pStyle w:val="Notedebasdepage"/>
      </w:pPr>
      <w:r>
        <w:rPr>
          <w:rStyle w:val="Appelnotedebasdep"/>
        </w:rPr>
        <w:footnoteRef/>
        <w:t xml:space="preserve"> </w:t>
      </w:r>
      <w:r>
        <w:rPr/>
        <w:t xml:space="preserve"> Nous avons nous-même commis l’erreur de parler ainsi du criminel, faute d’avoir appliqué notre règle (</w:t>
      </w:r>
      <w:r>
        <w:rPr>
          <w:rStyle w:val="title-c"/>
        </w:rPr>
        <w:t>Division du travail social</w:t>
      </w:r>
      <w:r>
        <w:rPr/>
        <w:t xml:space="preserve">, p. 395. 396).</w:t>
      </w:r>
    </w:p>
  </w:footnote>
  <w:footnote w:id="45">
    <w:p>
      <w:pPr>
        <w:pStyle w:val="Notedebasdepage"/>
      </w:pPr>
      <w:r>
        <w:rPr>
          <w:rStyle w:val="Appelnotedebasdep"/>
        </w:rPr>
        <w:footnoteRef/>
        <w:t xml:space="preserve"> </w:t>
      </w:r>
      <w:r>
        <w:rPr/>
        <w:t xml:space="preserve"> D’ailleurs, de ce que le crime est un fait de sociologie normale, il ne suit pas qu’il ne faille pas le haïr. La douleur, elle non plus, n’a rien de désirable ; l’individu la hait comme la société hait le crime, et pourtant elle relève de la physiologie normale. Non seulement elle dérive nécessairement de la constitution même de tout être vivant, mais elle joue un rôle utile dans la vie et pour lequel elle ne peut être remplacée. Ce serait donc dénaturer singulièrement notre pensée que de la présenter comme une apologie du crime. Nous ne songerions même pas à protester contre une telle interprétation, si nous ne savions à quelles étranges accusations on s’expose et à quels malentendus, quand on entreprend d’étudier les faits moraux objectivement et d’en parler dans une langue qui n’est pas celle du vulgaire.</w:t>
      </w:r>
    </w:p>
  </w:footnote>
  <w:footnote w:id="46">
    <w:p>
      <w:pPr>
        <w:pStyle w:val="Notedebasdepage"/>
      </w:pPr>
      <w:r>
        <w:rPr>
          <w:rStyle w:val="Appelnotedebasdep"/>
        </w:rPr>
        <w:footnoteRef/>
        <w:t xml:space="preserve"> </w:t>
      </w:r>
      <w:r>
        <w:rPr/>
        <w:t xml:space="preserve"> V. Garofalo, </w:t>
      </w:r>
      <w:r>
        <w:rPr>
          <w:rStyle w:val="title-c"/>
        </w:rPr>
        <w:t>Criminologie</w:t>
      </w:r>
      <w:r>
        <w:rPr/>
        <w:t xml:space="preserve">, p. 299.</w:t>
      </w:r>
    </w:p>
  </w:footnote>
  <w:footnote w:id="47">
    <w:p>
      <w:pPr>
        <w:pStyle w:val="Notedebasdepage"/>
      </w:pPr>
      <w:r>
        <w:rPr>
          <w:rStyle w:val="Appelnotedebasdep"/>
        </w:rPr>
        <w:footnoteRef/>
        <w:t xml:space="preserve"> </w:t>
      </w:r>
      <w:r>
        <w:rPr/>
        <w:t xml:space="preserve"> De la théorie développée dans ce chapitre on a quelquefois conclu que, suivant nous, la marche ascendante de la criminalité au cours du </w:t>
      </w:r>
      <w:r>
        <w:rPr/>
        <w:t xml:space="preserve">xix</w:t>
      </w:r>
      <w:r>
        <w:rPr>
          <w:vertAlign w:val="superscript"/>
        </w:rPr>
        <w:t>e</w:t>
      </w:r>
      <w:r>
        <w:rPr/>
        <w:t xml:space="preserve"> siècle était un phénomène normal. Rien n`est plus éloigné de notre pensée. Plusieurs faits que nous avons indiqués à propos du suicide (voir </w:t>
      </w:r>
      <w:r>
        <w:rPr>
          <w:rStyle w:val="title-c"/>
        </w:rPr>
        <w:t>Le Suicide</w:t>
      </w:r>
      <w:r>
        <w:rPr/>
        <w:t xml:space="preserve">, p. 420 et suiv.) tendent, au contraire, à nous faire croire que ce développement est, en général, morbide. Toutefois, il pourrait se faire qu’un certain accroissement de certaines formes de la criminalité fût normal, car chaque état de civilisation a sa criminalité propre. Mais on ne peut faire là-dessus que des hypothèses.</w:t>
      </w:r>
    </w:p>
  </w:footnote>
  <w:footnote w:id="48">
    <w:p>
      <w:pPr>
        <w:pStyle w:val="Notedebasdepage"/>
      </w:pPr>
      <w:r>
        <w:rPr>
          <w:rStyle w:val="Appelnotedebasdep"/>
        </w:rPr>
        <w:footnoteRef/>
        <w:t xml:space="preserve"> </w:t>
      </w:r>
      <w:r>
        <w:rPr/>
        <w:t xml:space="preserve"> Je l’appelle ainsi, parce qu’il a été fréquent chez les historiens, mais je ne veux pas dire qu’il se retrouve chez tous.</w:t>
      </w:r>
    </w:p>
  </w:footnote>
  <w:footnote w:id="49">
    <w:p>
      <w:pPr>
        <w:pStyle w:val="Notedebasdepage"/>
      </w:pPr>
      <w:r>
        <w:rPr>
          <w:rStyle w:val="Appelnotedebasdep"/>
        </w:rPr>
        <w:footnoteRef/>
        <w:t xml:space="preserve"> </w:t>
      </w:r>
      <w:r>
        <w:rPr>
          <w:rStyle w:val="title-c"/>
        </w:rPr>
        <w:t>Cours de philos. pos.</w:t>
      </w:r>
      <w:r>
        <w:rPr/>
        <w:t xml:space="preserve">, IV, 263.</w:t>
      </w:r>
    </w:p>
  </w:footnote>
  <w:footnote w:id="50">
    <w:p>
      <w:pPr>
        <w:pStyle w:val="Notedebasdepage"/>
      </w:pPr>
      <w:r>
        <w:rPr>
          <w:rStyle w:val="Appelnotedebasdep"/>
        </w:rPr>
        <w:footnoteRef/>
        <w:t xml:space="preserve"> </w:t>
      </w:r>
      <w:r>
        <w:rPr>
          <w:rStyle w:val="title-c"/>
        </w:rPr>
        <w:t>Novum Organum</w:t>
      </w:r>
      <w:r>
        <w:rPr/>
        <w:t xml:space="preserve">, II, § 36.</w:t>
      </w:r>
    </w:p>
  </w:footnote>
  <w:footnote w:id="51">
    <w:p>
      <w:pPr>
        <w:pStyle w:val="Notedebasdepage"/>
      </w:pPr>
      <w:r>
        <w:rPr>
          <w:rStyle w:val="Appelnotedebasdep"/>
        </w:rPr>
        <w:footnoteRef/>
        <w:t xml:space="preserve"> </w:t>
      </w:r>
      <w:r>
        <w:rPr>
          <w:rStyle w:val="title-c"/>
        </w:rPr>
        <w:t>Sociologie</w:t>
      </w:r>
      <w:r>
        <w:rPr/>
        <w:t xml:space="preserve">, II, 135.</w:t>
      </w:r>
    </w:p>
  </w:footnote>
  <w:footnote w:id="52">
    <w:p>
      <w:pPr>
        <w:pStyle w:val="Notedebasdepage"/>
      </w:pPr>
      <w:r>
        <w:rPr>
          <w:rStyle w:val="Appelnotedebasdep"/>
        </w:rPr>
        <w:footnoteRef/>
        <w:t xml:space="preserve"> </w:t>
      </w:r>
      <w:r>
        <w:rPr>
          <w:rStyle w:val="quote"/>
        </w:rPr>
        <w:t xml:space="preserve"> « Nous ne pouvons pas toujours dire avec précision ce qui constitue une société simple. »</w:t>
      </w:r>
      <w:r>
        <w:rPr/>
        <w:t xml:space="preserve"> (</w:t>
      </w:r>
      <w:r>
        <w:rPr>
          <w:i/>
        </w:rPr>
        <w:t xml:space="preserve">Ibid.</w:t>
      </w:r>
      <w:r>
        <w:rPr/>
        <w:t xml:space="preserve">, 135, 136.)</w:t>
      </w:r>
    </w:p>
  </w:footnote>
  <w:footnote w:id="53">
    <w:p>
      <w:pPr>
        <w:pStyle w:val="Notedebasdepage"/>
      </w:pPr>
      <w:r>
        <w:rPr>
          <w:rStyle w:val="Appelnotedebasdep"/>
        </w:rPr>
        <w:footnoteRef/>
        <w:t xml:space="preserve"> </w:t>
      </w:r>
      <w:r>
        <w:rPr>
          <w:i/>
        </w:rPr>
        <w:t xml:space="preserve">Ibid.</w:t>
      </w:r>
      <w:r>
        <w:rPr/>
        <w:t xml:space="preserve">, 136.</w:t>
      </w:r>
    </w:p>
  </w:footnote>
  <w:footnote w:id="54">
    <w:p>
      <w:pPr>
        <w:pStyle w:val="Notedebasdepage"/>
      </w:pPr>
      <w:r>
        <w:rPr>
          <w:rStyle w:val="Appelnotedebasdep"/>
        </w:rPr>
        <w:footnoteRef/>
        <w:t xml:space="preserve"> </w:t>
      </w:r>
      <w:r>
        <w:rPr>
          <w:rStyle w:val="title-c"/>
        </w:rPr>
        <w:t>Division du travail social</w:t>
      </w:r>
      <w:r>
        <w:rPr/>
        <w:t xml:space="preserve">, p. 189.</w:t>
      </w:r>
    </w:p>
  </w:footnote>
  <w:footnote w:id="55">
    <w:p>
      <w:pPr>
        <w:pStyle w:val="Notedebasdepage"/>
      </w:pPr>
      <w:r>
        <w:rPr>
          <w:rStyle w:val="Appelnotedebasdep"/>
        </w:rPr>
        <w:footnoteRef/>
        <w:t xml:space="preserve"> </w:t>
      </w:r>
      <w:r>
        <w:rPr/>
        <w:t xml:space="preserve"> Toutefois il est vraisemblable que, en général, la distance entre les sociétés composantes ne saurait être très grande ; autrement, il ne pourrait y avoir entre elles aucune communauté morale.</w:t>
      </w:r>
    </w:p>
  </w:footnote>
  <w:footnote w:id="56">
    <w:p>
      <w:pPr>
        <w:pStyle w:val="Notedebasdepage"/>
      </w:pPr>
      <w:r>
        <w:rPr>
          <w:rStyle w:val="Appelnotedebasdep"/>
        </w:rPr>
        <w:footnoteRef/>
        <w:t xml:space="preserve"> </w:t>
      </w:r>
      <w:r>
        <w:rPr/>
        <w:t xml:space="preserve"> N’est-ce pas le cas de l’empire romain, qui paraît bien être sans analogue dans l’histoire ?</w:t>
      </w:r>
    </w:p>
  </w:footnote>
  <w:footnote w:id="57">
    <w:p>
      <w:pPr>
        <w:pStyle w:val="Notedebasdepage"/>
      </w:pPr>
      <w:r>
        <w:rPr>
          <w:rStyle w:val="Appelnotedebasdep"/>
        </w:rPr>
        <w:footnoteRef/>
        <w:t xml:space="preserve"> </w:t>
      </w:r>
      <w:r>
        <w:rPr/>
        <w:t xml:space="preserve"> En rédigeant ce chapitre pour la première édition de cet ouvrage, nous n’avons rien dit de la méthode qui consiste à classer les sociétés d’après leur état de civilisation. À ce moment, en effet, il n’existait pas de classifications de ce genre qui fussent proposées par des sociologues autorisés, sauf peut-être celle, trop évidemment archaïque, de Comte. Depuis, plusieurs essais ont été faits dans ce sens, notamment par Vierkandt (</w:t>
      </w:r>
      <w:r>
        <w:rPr>
          <w:rStyle w:val="title-c"/>
        </w:rPr>
        <w:t>Die Kulturtypen der Menschheit</w:t>
      </w:r>
      <w:r>
        <w:rPr/>
        <w:t xml:space="preserve">, in </w:t>
      </w:r>
      <w:r>
        <w:rPr>
          <w:rStyle w:val="title-c"/>
        </w:rPr>
        <w:t>Archiv. f. Anthropologie</w:t>
      </w:r>
      <w:r>
        <w:rPr/>
        <w:t xml:space="preserve">, 1898), par Sutherland (</w:t>
      </w:r>
      <w:r>
        <w:rPr>
          <w:rStyle w:val="title-c"/>
        </w:rPr>
        <w:t>The Origin and Growth of the Moral Instinct</w:t>
      </w:r>
      <w:r>
        <w:rPr/>
        <w:t xml:space="preserve">), et par Steinmetz (</w:t>
      </w:r>
      <w:r>
        <w:rPr>
          <w:rStyle w:val="title-c"/>
        </w:rPr>
        <w:t>Classification des types sociaux</w:t>
      </w:r>
      <w:r>
        <w:rPr/>
        <w:t xml:space="preserve"> in </w:t>
      </w:r>
      <w:r>
        <w:rPr>
          <w:rStyle w:val="title-c"/>
        </w:rPr>
        <w:t>Année sociologique</w:t>
      </w:r>
      <w:r>
        <w:rPr/>
        <w:t xml:space="preserve">, III, p. 43-147). Néanmoins, nous ne nous arrêterons pas à les discuter, car ils ne répondent pas au problème posé dans ce chapitre. On y trouve classées, non des espèces sociales, mais, ce qui est bien différent, des phases historiques. La France, depuis ses origines, a passé par des formes de civilisation très différentes ; elle a commencé par être agricole, pour passer ensuite à l’industrie des métiers et au petit commerce, puis à la manufacture et enfin à la grande industrie. Or il est impossible d’admettre qu’une même individualité collective puisse changer d’espèce trois ou quatre fois. Une espèce doit se définir par des caractères plus constants. L’état économique, technologique, etc., présente des phénomènes trop instables et trop complexes pour fournir la base d’une classification. Il est même très possible qu’une même civilisation industrielle, scientifique, artistique puisse se rencontrer dans des sociétés dont la constitution congénitale est très différente. Le Japon pourra nous emprunter nos arts, notre industrie, même notre organisation politique ; il ne laissera pas d’appartenir à une autre espèce sociale que la France et l’Allemagne. Ajoutons que ces tentatives, quoique conduites par des sociologues de valeur, n’ont donné que des résultats vagues, contestables et de peu d’utilité.</w:t>
      </w:r>
    </w:p>
  </w:footnote>
  <w:footnote w:id="58">
    <w:p>
      <w:pPr>
        <w:pStyle w:val="Notedebasdepage"/>
      </w:pPr>
      <w:r>
        <w:rPr>
          <w:rStyle w:val="Appelnotedebasdep"/>
        </w:rPr>
        <w:footnoteRef/>
        <w:t xml:space="preserve"> </w:t>
      </w:r>
      <w:r>
        <w:rPr>
          <w:rStyle w:val="title-c"/>
        </w:rPr>
        <w:t>Cours de philos. pos.</w:t>
      </w:r>
      <w:r>
        <w:rPr/>
        <w:t xml:space="preserve">, IV, 262.</w:t>
      </w:r>
    </w:p>
  </w:footnote>
  <w:footnote w:id="59">
    <w:p>
      <w:pPr>
        <w:pStyle w:val="Notedebasdepage"/>
      </w:pPr>
      <w:r>
        <w:rPr>
          <w:rStyle w:val="Appelnotedebasdep"/>
        </w:rPr>
        <w:footnoteRef/>
        <w:t xml:space="preserve"> </w:t>
      </w:r>
      <w:r>
        <w:rPr>
          <w:rStyle w:val="title-c"/>
        </w:rPr>
        <w:t>Sociologie</w:t>
      </w:r>
      <w:r>
        <w:rPr/>
        <w:t xml:space="preserve">, III, 336.</w:t>
      </w:r>
    </w:p>
  </w:footnote>
  <w:footnote w:id="60">
    <w:p>
      <w:pPr>
        <w:pStyle w:val="Notedebasdepage"/>
      </w:pPr>
      <w:r>
        <w:rPr>
          <w:rStyle w:val="Appelnotedebasdep"/>
        </w:rPr>
        <w:footnoteRef/>
        <w:t xml:space="preserve"> </w:t>
      </w:r>
      <w:r>
        <w:rPr>
          <w:rStyle w:val="title-c"/>
        </w:rPr>
        <w:t>Division du travail</w:t>
      </w:r>
      <w:r>
        <w:rPr/>
        <w:t xml:space="preserve">, l. II, ch. III et IV.</w:t>
      </w:r>
    </w:p>
  </w:footnote>
  <w:footnote w:id="61">
    <w:p>
      <w:pPr>
        <w:pStyle w:val="Notedebasdepage"/>
      </w:pPr>
      <w:r>
        <w:rPr>
          <w:rStyle w:val="Appelnotedebasdep"/>
        </w:rPr>
        <w:footnoteRef/>
        <w:t xml:space="preserve"> </w:t>
      </w:r>
      <w:r>
        <w:rPr/>
        <w:t xml:space="preserve"> Nous ne voudrions pas soulever ici des questions de philosophie générale qui ne seraient pas à leur place. Remarquons pourtant que, mieux étudiée, cette réciprocité de la cause et de l’effet pourrait fournir un moyen de réconcilier le mécanisme scientifique avec le finalisme qu’impliquent l’existence et surtout la persistance de la vie.</w:t>
      </w:r>
    </w:p>
  </w:footnote>
  <w:footnote w:id="62">
    <w:p>
      <w:pPr>
        <w:pStyle w:val="Notedebasdepage"/>
      </w:pPr>
      <w:r>
        <w:rPr>
          <w:rStyle w:val="Appelnotedebasdep"/>
        </w:rPr>
        <w:footnoteRef/>
        <w:t xml:space="preserve"> </w:t>
      </w:r>
      <w:r>
        <w:rPr>
          <w:rStyle w:val="title-c"/>
        </w:rPr>
        <w:t>Division du travail social</w:t>
      </w:r>
      <w:r>
        <w:rPr/>
        <w:t xml:space="preserve">, l. II, ch. II, notamment p. 105 et suiv.</w:t>
      </w:r>
    </w:p>
  </w:footnote>
  <w:footnote w:id="63">
    <w:p>
      <w:pPr>
        <w:pStyle w:val="Notedebasdepage"/>
      </w:pPr>
      <w:r>
        <w:rPr>
          <w:rStyle w:val="Appelnotedebasdep"/>
        </w:rPr>
        <w:footnoteRef/>
        <w:t xml:space="preserve"> </w:t>
      </w:r>
      <w:r>
        <w:rPr>
          <w:rStyle w:val="title-c"/>
        </w:rPr>
        <w:t>Division du travail social</w:t>
      </w:r>
      <w:r>
        <w:rPr/>
        <w:t xml:space="preserve">, 52, 53.</w:t>
      </w:r>
    </w:p>
  </w:footnote>
  <w:footnote w:id="64">
    <w:p>
      <w:pPr>
        <w:pStyle w:val="Notedebasdepage"/>
      </w:pPr>
      <w:r>
        <w:rPr>
          <w:rStyle w:val="Appelnotedebasdep"/>
        </w:rPr>
        <w:footnoteRef/>
        <w:t xml:space="preserve"> </w:t>
      </w:r>
      <w:r>
        <w:rPr>
          <w:i/>
        </w:rPr>
        <w:t xml:space="preserve">Ibid.</w:t>
      </w:r>
      <w:r>
        <w:rPr/>
        <w:t xml:space="preserve">, 301 et suiv.</w:t>
      </w:r>
    </w:p>
  </w:footnote>
  <w:footnote w:id="65">
    <w:p>
      <w:pPr>
        <w:pStyle w:val="Notedebasdepage"/>
      </w:pPr>
      <w:r>
        <w:rPr>
          <w:rStyle w:val="Appelnotedebasdep"/>
        </w:rPr>
        <w:footnoteRef/>
        <w:t xml:space="preserve"> </w:t>
      </w:r>
      <w:r>
        <w:rPr>
          <w:rStyle w:val="title-c"/>
        </w:rPr>
        <w:t>Cours de philos. pos.</w:t>
      </w:r>
      <w:r>
        <w:rPr/>
        <w:t xml:space="preserve">, IV. 333.</w:t>
      </w:r>
    </w:p>
  </w:footnote>
  <w:footnote w:id="66">
    <w:p>
      <w:pPr>
        <w:pStyle w:val="Notedebasdepage"/>
      </w:pPr>
      <w:r>
        <w:rPr>
          <w:rStyle w:val="Appelnotedebasdep"/>
        </w:rPr>
        <w:footnoteRef/>
        <w:t xml:space="preserve"> </w:t>
      </w:r>
      <w:r>
        <w:rPr>
          <w:i/>
        </w:rPr>
        <w:t xml:space="preserve">Ibid.</w:t>
      </w:r>
      <w:r>
        <w:rPr/>
        <w:t xml:space="preserve">, 345.</w:t>
      </w:r>
    </w:p>
  </w:footnote>
  <w:footnote w:id="67">
    <w:p>
      <w:pPr>
        <w:pStyle w:val="Notedebasdepage"/>
      </w:pPr>
      <w:r>
        <w:rPr>
          <w:rStyle w:val="Appelnotedebasdep"/>
        </w:rPr>
        <w:footnoteRef/>
        <w:t xml:space="preserve"> </w:t>
      </w:r>
      <w:r>
        <w:rPr>
          <w:rStyle w:val="title-c"/>
        </w:rPr>
        <w:t>Cours de philos. pos.</w:t>
      </w:r>
      <w:r>
        <w:rPr/>
        <w:t xml:space="preserve">, 346.</w:t>
      </w:r>
    </w:p>
  </w:footnote>
  <w:footnote w:id="68">
    <w:p>
      <w:pPr>
        <w:pStyle w:val="Notedebasdepage"/>
      </w:pPr>
      <w:r>
        <w:rPr>
          <w:rStyle w:val="Appelnotedebasdep"/>
        </w:rPr>
        <w:footnoteRef/>
        <w:t xml:space="preserve"> </w:t>
      </w:r>
      <w:r>
        <w:rPr>
          <w:i/>
        </w:rPr>
        <w:t xml:space="preserve">Ibid.</w:t>
      </w:r>
      <w:r>
        <w:rPr/>
        <w:t xml:space="preserve">, 335.</w:t>
      </w:r>
    </w:p>
  </w:footnote>
  <w:footnote w:id="69">
    <w:p>
      <w:pPr>
        <w:pStyle w:val="Notedebasdepage"/>
      </w:pPr>
      <w:r>
        <w:rPr>
          <w:rStyle w:val="Appelnotedebasdep"/>
        </w:rPr>
        <w:footnoteRef/>
        <w:t xml:space="preserve"> </w:t>
      </w:r>
      <w:r>
        <w:rPr>
          <w:rStyle w:val="title-c"/>
        </w:rPr>
        <w:t>Principes de sociologie</w:t>
      </w:r>
      <w:r>
        <w:rPr/>
        <w:t xml:space="preserve">, I, 14, 15.</w:t>
      </w:r>
    </w:p>
  </w:footnote>
  <w:footnote w:id="70">
    <w:p>
      <w:pPr>
        <w:pStyle w:val="Notedebasdepage"/>
      </w:pPr>
      <w:r>
        <w:rPr>
          <w:rStyle w:val="Appelnotedebasdep"/>
        </w:rPr>
        <w:footnoteRef/>
        <w:t xml:space="preserve"> </w:t>
      </w:r>
      <w:r>
        <w:rPr>
          <w:i/>
        </w:rPr>
        <w:t xml:space="preserve">Op. cit.</w:t>
      </w:r>
      <w:r>
        <w:rPr/>
        <w:t xml:space="preserve">, I, 583.</w:t>
      </w:r>
    </w:p>
  </w:footnote>
  <w:footnote w:id="71">
    <w:p>
      <w:pPr>
        <w:pStyle w:val="Notedebasdepage"/>
      </w:pPr>
      <w:r>
        <w:rPr>
          <w:rStyle w:val="Appelnotedebasdep"/>
        </w:rPr>
        <w:footnoteRef/>
        <w:t xml:space="preserve"> </w:t>
      </w:r>
      <w:r>
        <w:rPr>
          <w:i/>
        </w:rPr>
        <w:t xml:space="preserve">Ibid.</w:t>
      </w:r>
      <w:r>
        <w:rPr/>
        <w:t xml:space="preserve">, 582.</w:t>
      </w:r>
    </w:p>
  </w:footnote>
  <w:footnote w:id="72">
    <w:p>
      <w:pPr>
        <w:pStyle w:val="Notedebasdepage"/>
      </w:pPr>
      <w:r>
        <w:rPr>
          <w:rStyle w:val="Appelnotedebasdep"/>
        </w:rPr>
        <w:footnoteRef/>
        <w:t xml:space="preserve"> </w:t>
      </w:r>
      <w:r>
        <w:rPr>
          <w:i/>
        </w:rPr>
        <w:t xml:space="preserve">Ibid.</w:t>
      </w:r>
      <w:r>
        <w:rPr/>
        <w:t xml:space="preserve">, 18.</w:t>
      </w:r>
    </w:p>
  </w:footnote>
  <w:footnote w:id="73">
    <w:p>
      <w:pPr>
        <w:pStyle w:val="Notedebasdepage"/>
      </w:pPr>
      <w:r>
        <w:rPr>
          <w:rStyle w:val="Appelnotedebasdep"/>
        </w:rPr>
        <w:footnoteRef/>
        <w:t xml:space="preserve"> </w:t>
      </w:r>
      <w:r>
        <w:rPr>
          <w:rStyle w:val="quote"/>
        </w:rPr>
        <w:t xml:space="preserve"> « La société existe pour le profit de ses membres, les membres n’existent pas pour le profit de la société… : les droits du corps politique ne sont rien en eux-mêmes, ils ne deviennent quelque chose qu’à condition d’incarner les droits des individus qui le composent. »</w:t>
      </w:r>
      <w:r>
        <w:rPr/>
        <w:t xml:space="preserve"> (</w:t>
      </w:r>
      <w:r>
        <w:rPr>
          <w:i/>
        </w:rPr>
        <w:t xml:space="preserve">Op. cit.</w:t>
      </w:r>
      <w:r>
        <w:rPr/>
        <w:t xml:space="preserve">, II, 20.)</w:t>
      </w:r>
    </w:p>
  </w:footnote>
  <w:footnote w:id="74">
    <w:p>
      <w:pPr>
        <w:pStyle w:val="Notedebasdepage"/>
      </w:pPr>
      <w:r>
        <w:rPr>
          <w:rStyle w:val="Appelnotedebasdep"/>
        </w:rPr>
        <w:footnoteRef/>
        <w:t xml:space="preserve"> </w:t>
      </w:r>
      <w:r>
        <w:rPr/>
        <w:t xml:space="preserve"> Voilà dans quel sens et pour quelles raisons on peut et on doit parler d’une conscience collective distincte des consciences individuelles. Pour justifier cette distinction, il n’est pas nécessaire d’hypostasier la première ; elle est quelque chose de spécial et doit être désignée par un terme spécial, simplement parce que les états qui la constituent diffèrent spécifiquement de ceux qui constituent les consciences particulières. Cette spécificité leur vient de ce qu’ils ne sont pas formés des mêmes éléments. Les uns, en effet, résultent de la nature de l’être organico-psychique pris isolément, les autres de la combinaison d’une pluralité d’êtres de ce genre. Les résultantes ne peuvent donc pas manquer de différer, puisque les composantes diffèrent à ce point. Notre définition du fait, social ne faisait, d’ailleurs, que marquer d’une autre manière cette ligne de démarcation.</w:t>
      </w:r>
    </w:p>
  </w:footnote>
  <w:footnote w:id="75">
    <w:p>
      <w:pPr>
        <w:pStyle w:val="Notedebasdepage"/>
      </w:pPr>
      <w:r>
        <w:rPr>
          <w:rStyle w:val="Appelnotedebasdep"/>
        </w:rPr>
        <w:footnoteRef/>
        <w:t xml:space="preserve"> </w:t>
      </w:r>
      <w:r>
        <w:rPr/>
        <w:t xml:space="preserve"> Si tant est qu’elle existe avant toute vie sociale. V. sur ce point Espinas, </w:t>
      </w:r>
      <w:r>
        <w:rPr>
          <w:rStyle w:val="title-c"/>
        </w:rPr>
        <w:t>Sociétés animales</w:t>
      </w:r>
      <w:r>
        <w:rPr/>
        <w:t xml:space="preserve">, 474.</w:t>
      </w:r>
    </w:p>
  </w:footnote>
  <w:footnote w:id="76">
    <w:p>
      <w:pPr>
        <w:pStyle w:val="Notedebasdepage"/>
      </w:pPr>
      <w:r>
        <w:rPr>
          <w:rStyle w:val="Appelnotedebasdep"/>
        </w:rPr>
        <w:footnoteRef/>
        <w:t xml:space="preserve"> </w:t>
      </w:r>
      <w:r>
        <w:rPr>
          <w:rStyle w:val="title-c"/>
        </w:rPr>
        <w:t>Division du travail social</w:t>
      </w:r>
      <w:r>
        <w:rPr/>
        <w:t xml:space="preserve">, l. II, ch. I.</w:t>
      </w:r>
    </w:p>
  </w:footnote>
  <w:footnote w:id="77">
    <w:p>
      <w:pPr>
        <w:pStyle w:val="Notedebasdepage"/>
      </w:pPr>
      <w:r>
        <w:rPr>
          <w:rStyle w:val="Appelnotedebasdep"/>
        </w:rPr>
        <w:footnoteRef/>
        <w:t xml:space="preserve"> </w:t>
      </w:r>
      <w:r>
        <w:rPr/>
        <w:t xml:space="preserve"> Les phénomènes psychiques ne peuvent avoir de conséquences sociales que quand ils sont si intimement unis à des phénomènes sociaux que l’action des uns et des autres est nécessairement confondue. C’est le cas de certains faits socio-psychiques. Ainsi, un fonctionnaire est une force sociale, mais c’est en même temps un individu. Il en résulte qu’il peut se servir de l’énergie sociale qu’il détient, dans un sens déterminé par sa nature individuelle, et, par là, il peut avoir une influence sur la constitution de la société. C’est ce qui arrive aux hommes d’État et, plus généralement, aux hommes de génie. Ceux-ci, alors même qu’ils ne remplissent pas une fonction sociale, tirent des sentiments collectifs dont ils sont l’objet, une autorité qui est, elle aussi, une force sociale, et qu’ils peuvent mettre, dans une certaine mesure, au service d’idées personnelles. Mais on voit que ces cas sont dus à des accidents individuels et, par suite, ne sauraient affecter les traits constitutifs de l’espèce sociale qui, seule, est objet de science. La restriction au principe énoncé plus haut n’est donc pas de grande importance pour le sociologue.</w:t>
      </w:r>
    </w:p>
  </w:footnote>
  <w:footnote w:id="78">
    <w:p>
      <w:pPr>
        <w:pStyle w:val="Notedebasdepage"/>
      </w:pPr>
      <w:r>
        <w:rPr>
          <w:rStyle w:val="Appelnotedebasdep"/>
        </w:rPr>
        <w:footnoteRef/>
        <w:t xml:space="preserve"> </w:t>
      </w:r>
      <w:r>
        <w:rPr/>
        <w:t xml:space="preserve"> Nous avons eu le tort, dans notre </w:t>
      </w:r>
      <w:r>
        <w:rPr>
          <w:rStyle w:val="title-c"/>
        </w:rPr>
        <w:t>Division du travail</w:t>
      </w:r>
      <w:r>
        <w:rPr/>
        <w:t xml:space="preserve">, de trop présenter la densité matérielle comme l’expression exacte de la densité dynamique. Toutefois, la substitution de la première à la seconde est absolument légitime pour tout ce qui concerne les effets économiques de celle-ci, par exemple la division du travail comme fait purement économique.</w:t>
      </w:r>
    </w:p>
  </w:footnote>
  <w:footnote w:id="79">
    <w:p>
      <w:pPr>
        <w:pStyle w:val="Notedebasdepage"/>
      </w:pPr>
      <w:r>
        <w:rPr>
          <w:rStyle w:val="Appelnotedebasdep"/>
        </w:rPr>
        <w:footnoteRef/>
        <w:t xml:space="preserve"> </w:t>
      </w:r>
      <w:r>
        <w:rPr/>
        <w:t xml:space="preserve"> La position de Comte sur ce sujet est d’un éclectisme assez ambigu.</w:t>
      </w:r>
    </w:p>
  </w:footnote>
  <w:footnote w:id="80">
    <w:p>
      <w:pPr>
        <w:pStyle w:val="Notedebasdepage"/>
      </w:pPr>
      <w:r>
        <w:rPr>
          <w:rStyle w:val="Appelnotedebasdep"/>
        </w:rPr>
        <w:footnoteRef/>
        <w:t xml:space="preserve"> </w:t>
      </w:r>
      <w:r>
        <w:rPr/>
        <w:t xml:space="preserve"> Voilà pourquoi toute contrainte n’est pas normale. Celle-là seulement mérite ce nom qui correspond à quelque supériorité sociale, c’est-à-dire intellectuelle ou morale. Mais celle qu’un individu exerce sur l’autre parce qu’il est plus fort ou plus riche, surtout si cette richesse n’exprime pas sa valeur sociale, est anormale et ne peut se maintenir que par la violence.</w:t>
      </w:r>
    </w:p>
  </w:footnote>
  <w:footnote w:id="81">
    <w:p>
      <w:pPr>
        <w:pStyle w:val="Notedebasdepage"/>
      </w:pPr>
      <w:r>
        <w:rPr>
          <w:rStyle w:val="Appelnotedebasdep"/>
        </w:rPr>
        <w:footnoteRef/>
        <w:t xml:space="preserve"> </w:t>
      </w:r>
      <w:r>
        <w:rPr/>
        <w:t xml:space="preserve"> Notre théorie est même plus contraire à celle de Hobbes que celle du droit naturel. En effet, pour les partisans de cette dernière doctrine, la vie collective n’est naturelle que dans la mesure où elle peut être déduite de la nature individuelle. Or, seules les formes les plus générales de l’organisation sociale peuvent, à la rigueur, être dérivées de cette origine. Quant au détail, il est trop éloigné de l’extrême généralité des propriétés psychiques pour y pouvoir être rattaché ; il paraît donc aux disciples de cette école tout aussi artificiel qu’à leurs adversaires. Pour nous, au contraire, tout est naturel, même les arrangements les plus spéciaux ; car tout est fondé dans la nature de la société.</w:t>
      </w:r>
    </w:p>
  </w:footnote>
  <w:footnote w:id="82">
    <w:p>
      <w:pPr>
        <w:pStyle w:val="Notedebasdepage"/>
      </w:pPr>
      <w:r>
        <w:rPr>
          <w:rStyle w:val="Appelnotedebasdep"/>
        </w:rPr>
        <w:footnoteRef/>
        <w:t xml:space="preserve"> </w:t>
      </w:r>
      <w:r>
        <w:rPr>
          <w:rStyle w:val="title-c"/>
        </w:rPr>
        <w:t>Cours de philosophie positive</w:t>
      </w:r>
      <w:r>
        <w:rPr/>
        <w:t xml:space="preserve">, IV, 328.</w:t>
      </w:r>
    </w:p>
  </w:footnote>
  <w:footnote w:id="83">
    <w:p>
      <w:pPr>
        <w:pStyle w:val="Notedebasdepage"/>
      </w:pPr>
      <w:r>
        <w:rPr>
          <w:rStyle w:val="Appelnotedebasdep"/>
        </w:rPr>
        <w:footnoteRef/>
        <w:t xml:space="preserve"> </w:t>
      </w:r>
      <w:r>
        <w:rPr>
          <w:rStyle w:val="title-c"/>
        </w:rPr>
        <w:t>Système de Logique</w:t>
      </w:r>
      <w:r>
        <w:rPr/>
        <w:t xml:space="preserve">, 11, 478.</w:t>
      </w:r>
    </w:p>
  </w:footnote>
  <w:footnote w:id="84">
    <w:p>
      <w:pPr>
        <w:pStyle w:val="Notedebasdepage"/>
      </w:pPr>
      <w:r>
        <w:rPr>
          <w:rStyle w:val="Appelnotedebasdep"/>
        </w:rPr>
        <w:footnoteRef/>
        <w:t xml:space="preserve"> </w:t>
      </w:r>
      <w:r>
        <w:rPr>
          <w:rStyle w:val="title-c"/>
        </w:rPr>
        <w:t>Division du travail social</w:t>
      </w:r>
      <w:r>
        <w:rPr/>
        <w:t xml:space="preserve">, p. 87.</w:t>
      </w:r>
    </w:p>
  </w:footnote>
  <w:footnote w:id="85">
    <w:p>
      <w:pPr>
        <w:pStyle w:val="Notedebasdepage"/>
      </w:pPr>
      <w:r>
        <w:rPr>
          <w:rStyle w:val="Appelnotedebasdep"/>
        </w:rPr>
        <w:footnoteRef/>
        <w:t xml:space="preserve"> </w:t>
      </w:r>
      <w:r>
        <w:rPr/>
        <w:t xml:space="preserve"> Dans le cas de la méthode de différence, l’absence de la cause exclut la présence de l’effet.</w:t>
      </w:r>
    </w:p>
  </w:footnote>
  <w:footnote w:id="86">
    <w:p>
      <w:pPr>
        <w:pStyle w:val="Notedebasdepage"/>
      </w:pPr>
      <w:r>
        <w:rPr>
          <w:rStyle w:val="Appelnotedebasdep"/>
        </w:rPr>
        <w:footnoteRef/>
        <w:t xml:space="preserve"> </w:t>
      </w:r>
      <w:r>
        <w:rPr/>
        <w:t xml:space="preserve"> On est donc mal venu à qualifier notre méthode de matérialiste.</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1055050.r=durkheim+r%C3%A8gles+de+la+m%C3%A9thode.lang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