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Les notes reprises dans cette édition sont celles du traducteur/éditeur anonyme ayant publié ces textes en 1979 aux Éditions en langues étrangères, Beijing.</w:t>
      </w:r>
    </w:p>
    <w:p>
      <w:pPr>
        <w:pStyle w:val="Notedebasdepage"/>
      </w:pPr>
      <w:r>
        <w:rPr/>
        <w:t xml:space="preserve">Tel est le titre donné par Engels à l’article qui figurait dans l’index de la deuxième liasse des matériaux de la </w:t>
      </w:r>
      <w:r>
        <w:rPr>
          <w:rStyle w:val="title-c"/>
        </w:rPr>
        <w:t>Dialectique de la nature</w:t>
      </w:r>
      <w:r>
        <w:rPr/>
        <w:t xml:space="preserve">. Cet article avait été initialement conçu comme une introduction à un ouvrage plus vaste, intitulé : </w:t>
      </w:r>
      <w:r>
        <w:rPr>
          <w:rStyle w:val="title-c"/>
        </w:rPr>
        <w:t>Trois formes essentielles d’asservissement</w:t>
      </w:r>
      <w:r>
        <w:rPr/>
        <w:t xml:space="preserve">. Par la suite, Engels changea ce titre en : </w:t>
      </w:r>
      <w:r>
        <w:rPr>
          <w:rStyle w:val="title-c"/>
        </w:rPr>
        <w:t>Asservissement du travailleur. Introduction</w:t>
      </w:r>
      <w:r>
        <w:rPr/>
        <w:t xml:space="preserve">. Mais ce projet n’ayant pas été réalisé, Engels finit par donner à l’introduction qu’il avait rédigée le titre : </w:t>
      </w:r>
      <w:r>
        <w:rPr>
          <w:rStyle w:val="title-c"/>
        </w:rPr>
        <w:t>Le Rôle du travail dans la transformation du singe en homme</w:t>
      </w:r>
      <w:r>
        <w:rPr/>
        <w:t xml:space="preserve">, qui correspond à la partie essentielle du manuscrit. Cet article avait été vraisemblablement écrit en juin 1876. Nous avons en faveur de cette hypothèse la lettre de W. Liebknecht à Engels du 10 juin 1876, dans laquelle, entre autres, Liebknecht écrit qu’il attend avec impatience le travail promis par Engels pour le journal </w:t>
      </w:r>
      <w:r>
        <w:rPr>
          <w:rStyle w:val="title-c"/>
        </w:rPr>
        <w:t>Der Volksstaat</w:t>
      </w:r>
      <w:r>
        <w:rPr/>
        <w:t xml:space="preserve"> sur les « Trois formes essentielles d’asservissement ». Cet article a été publié pour la première fois en 1896 dans la </w:t>
      </w:r>
      <w:r>
        <w:rPr>
          <w:rStyle w:val="title-c"/>
        </w:rPr>
        <w:t>Neue Zeit</w:t>
      </w:r>
      <w:r>
        <w:rPr/>
        <w:t xml:space="preserve"> (Jahrgang XIV, Bd. 2, S. 545-554).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Voir Charles Darwin : </w:t>
      </w:r>
      <w:r>
        <w:rPr>
          <w:rStyle w:val="title-c"/>
        </w:rPr>
        <w:t>The Descent of Man and Selection in Relation to Sex</w:t>
      </w:r>
      <w:r>
        <w:rPr/>
        <w:t xml:space="preserve"> (Vol. I, London, 1871), Ch. VI, « On the Affinities and Genealogy of Man ». Théorie abandonnée désormais.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Engels se réfère à un témoignage de Labeo Notker, moine allemand (env. 952-1022), cité dans l’ouvrage de J. Grimm : </w:t>
      </w:r>
      <w:r>
        <w:rPr>
          <w:rStyle w:val="title-c"/>
        </w:rPr>
        <w:t>Deutsche Rechlsalterthümer</w:t>
      </w:r>
      <w:r>
        <w:rPr/>
        <w:t xml:space="preserve">, Göttingen, 1828, S. 488. Engels cite Notker dans son ouvrage inachevé : </w:t>
      </w:r>
      <w:r>
        <w:rPr>
          <w:rStyle w:val="title-c"/>
        </w:rPr>
        <w:t>Histoire d’Irlande</w:t>
      </w:r>
      <w:r>
        <w:rPr/>
        <w:t xml:space="preserve">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ce qui concerne l’influence de l’activité humaine sur la vie des plantes et le climat, Engels a utilisé l’ouvrage de C. Fraas : </w:t>
      </w:r>
      <w:r>
        <w:rPr>
          <w:rStyle w:val="title-c"/>
        </w:rPr>
        <w:t>Klima und Pflanzenwelt in der Zeit</w:t>
      </w:r>
      <w:r>
        <w:rPr/>
        <w:t xml:space="preserve">, Landshut, 1847. Marx attira l’attention d’Engels sur cet ouvrage dans une lettre du 25 mars 1868.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s’agit de la crise économique mondiale de 1873. En Allemagne, elle commença par le « grand krach » de mai 1873, prélude à une longue crise qui dura jusqu’à la fin des années 1870.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manuscrit s’interrompt ici…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Tiré de Engels, 1873–1895, </w:t>
      </w:r>
      <w:r>
        <w:rPr>
          <w:rStyle w:val="title-c"/>
        </w:rPr>
        <w:t>Dialectique de la nature d’Engels</w:t>
      </w:r>
      <w:r>
        <w:rPr/>
        <w:t xml:space="preserve">, « Introduction ». Titre ajouté par le traducteur.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Tiré de Engels, 1884, </w:t>
      </w:r>
      <w:r>
        <w:rPr>
          <w:i/>
        </w:rPr>
        <w:t xml:space="preserve">L’Origine de la famille, de la propriété privée et de l’État.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www.marxists.org/francais/marx/76-rotra.htm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