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Sur ce qui suit voir plus de détail et voir les textes dans ma </w:t>
      </w:r>
      <w:r>
        <w:rPr>
          <w:rStyle w:val="title-c"/>
        </w:rPr>
        <w:t>Politique comparée de Montesquieu, Rousseau et Voltaire</w:t>
      </w:r>
      <w:r>
        <w:rPr/>
        <w:t xml:space="preserve">.</w:t>
      </w:r>
    </w:p>
  </w:footnote>
  <w:footnote w:id="2">
    <w:p>
      <w:pPr>
        <w:pStyle w:val="Notedebasdepage"/>
      </w:pPr>
      <w:r>
        <w:rPr>
          <w:rStyle w:val="Appelnotedebasdep"/>
        </w:rPr>
        <w:footnoteRef/>
        <w:t xml:space="preserve"> </w:t>
      </w:r>
      <w:r>
        <w:rPr/>
        <w:t xml:space="preserve">Il est défendu à toute église ou paroisse de France et à tout citoyen français de reconnaître en aucun cas et sous quelque prétexte que ce soit l’autorité d’un évêque dont le siège serait établi sous la domination d’une puissance étrangère… le tout sans préjudice de l’unité de foi et de communion qui sera entretenue avec le chef visible de l’Église universelle. (</w:t>
      </w:r>
      <w:r>
        <w:rPr>
          <w:rStyle w:val="title-c"/>
        </w:rPr>
        <w:t>Constitution civile du clergé</w:t>
      </w:r>
      <w:r>
        <w:rPr/>
        <w:t xml:space="preserve">, I, 4.) — Le nouvel évêque ne pourra s’adresser au pape pour en obtenir aucune confirmation ; mais il lui écrira comme au chef visible de l’Église universelle en témoignage de l’unité de foi et de la communion qu’il doit entretenir avec lui (II, 19).</w:t>
      </w:r>
    </w:p>
  </w:footnote>
  <w:footnote w:id="3">
    <w:p>
      <w:pPr>
        <w:pStyle w:val="Notedebasdepage"/>
      </w:pPr>
      <w:r>
        <w:rPr>
          <w:rStyle w:val="Appelnotedebasdep"/>
        </w:rPr>
        <w:footnoteRef/>
        <w:t xml:space="preserve"> </w:t>
      </w:r>
      <w:r>
        <w:rPr>
          <w:rStyle w:val="title-c"/>
        </w:rPr>
        <w:t>Histoire des rapports de l’Église et de l’État en France de 1789 à 1870</w:t>
      </w:r>
      <w:r>
        <w:rPr/>
        <w:t xml:space="preserve">.</w:t>
      </w:r>
    </w:p>
  </w:footnote>
  <w:footnote w:id="4">
    <w:p>
      <w:pPr>
        <w:pStyle w:val="Notedebasdepage"/>
      </w:pPr>
      <w:r>
        <w:rPr>
          <w:rStyle w:val="Appelnotedebasdep"/>
        </w:rPr>
        <w:footnoteRef/>
        <w:t xml:space="preserve"> </w:t>
      </w:r>
      <w:r>
        <w:rPr/>
        <w:t xml:space="preserve">Il y a des exceptions : M. Jaurès entre autres (peut-être parce qu’il est une supériorité intellectuelle) est partisan de la représentation des minorités.</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