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avons montré dans Peau noire, Masques blancs (éditions du Seuil) le mécanisme de ce monde manichéiste.</w:t>
      </w:r>
    </w:p>
  </w:footnote>
  <w:footnote w:id="2">
    <w:p>
      <w:pPr>
        <w:pStyle w:val="Notedebasdepage"/>
      </w:pPr>
      <w:r>
        <w:rPr>
          <w:rStyle w:val="Appelnotedebasdep"/>
        </w:rPr>
        <w:footnoteRef/>
        <w:t xml:space="preserve"> </w:t>
      </w:r>
      <w:r>
        <w:rPr>
          <w:i/>
        </w:rPr>
        <w:t xml:space="preserve">Guerres coloniales et troubles mentaux</w:t>
      </w:r>
      <w:r>
        <w:rPr/>
        <w:t xml:space="preserve">, chapitre 5.</w:t>
      </w:r>
    </w:p>
  </w:footnote>
  <w:footnote w:id="3">
    <w:p>
      <w:pPr>
        <w:pStyle w:val="Notedebasdepage"/>
      </w:pPr>
      <w:r>
        <w:rPr>
          <w:rStyle w:val="Appelnotedebasdep"/>
        </w:rPr>
        <w:footnoteRef/>
        <w:t xml:space="preserve"> </w:t>
      </w:r>
      <w:r>
        <w:rPr/>
        <w:t xml:space="preserve">Friedrich Engels, </w:t>
      </w:r>
      <w:r>
        <w:rPr>
          <w:i/>
        </w:rPr>
        <w:t xml:space="preserve">Anti-Dühring</w:t>
      </w:r>
      <w:r>
        <w:rPr/>
        <w:t xml:space="preserve">, 2e partie, chapitre III, « Théorie de la violence », Éditions Sociales, p. 199. [Livre disponible dans </w:t>
      </w:r>
      <w:hyperlink r:id="ref1">
        <w:r>
          <w:rPr>
            <w:rStyle w:val="LienInternet"/>
          </w:rPr>
          <w:t xml:space="preserve">Les Classiques des sciences sociales</w:t>
        </w:r>
      </w:hyperlink>
      <w:r>
        <w:rPr/>
        <w:t xml:space="preserve">. JMT.]</w:t>
      </w:r>
    </w:p>
  </w:footnote>
  <w:footnote w:id="4">
    <w:p>
      <w:pPr>
        <w:pStyle w:val="Notedebasdepage"/>
      </w:pPr>
      <w:r>
        <w:rPr>
          <w:rStyle w:val="Appelnotedebasdep"/>
        </w:rPr>
        <w:footnoteRef/>
        <w:t xml:space="preserve"> </w:t>
      </w:r>
      <w:r>
        <w:rPr/>
        <w:t xml:space="preserve">Il peut arriver que le leader soit l’expression authentique des masses colonisées. Dans ce cas, le colonialisme va profiter de sa détention pour essayer de lancer de nouveaux leaders.</w:t>
      </w:r>
    </w:p>
  </w:footnote>
  <w:footnote w:id="5">
    <w:p>
      <w:pPr>
        <w:pStyle w:val="Notedebasdepage"/>
      </w:pPr>
      <w:r>
        <w:rPr>
          <w:rStyle w:val="Appelnotedebasdep"/>
        </w:rPr>
        <w:footnoteRef/>
        <w:t xml:space="preserve"> </w:t>
      </w:r>
      <w:r>
        <w:rPr/>
        <w:t xml:space="preserve">Il est évident que ce nettoyage par le vide détruit la chose qu’on voulait sauver. C’est bien ce que signale Sartre quand il dit : « En somme par le fait même de les répéter (il s’agit des idées racistes) on révèle que l’union simultanée de tous contre les indigènes est irréalisable, qu’elle n’est que récurrence tournante et que d’ailleurs cette union ne pourrait se faire comme groupement actif que pour massacrer les colonisés, tentation perpétuelle et absurde du colon, qui revient, si elle était d’ailleurs réalisable, à supprimer d’un coup la colonisation. » Critique </w:t>
      </w:r>
      <w:r>
        <w:rPr>
          <w:i/>
        </w:rPr>
        <w:t xml:space="preserve">de</w:t>
      </w:r>
      <w:r>
        <w:rPr/>
        <w:t xml:space="preserve"> la rai</w:t>
      </w:r>
      <w:r>
        <w:rPr>
          <w:i/>
        </w:rPr>
        <w:t xml:space="preserve">son dialectique, p. 346.</w:t>
      </w:r>
    </w:p>
  </w:footnote>
  <w:footnote w:id="6">
    <w:p>
      <w:pPr>
        <w:pStyle w:val="Notedebasdepage"/>
      </w:pPr>
      <w:r>
        <w:rPr>
          <w:rStyle w:val="Appelnotedebasdep"/>
        </w:rPr>
        <w:footnoteRef/>
        <w:t xml:space="preserve"> </w:t>
      </w:r>
      <w:r>
        <w:rPr/>
        <w:t xml:space="preserve">Aimé Césaire, </w:t>
      </w:r>
      <w:r>
        <w:rPr>
          <w:i/>
        </w:rPr>
        <w:t xml:space="preserve">Les Armes miraculeuses (Et les chiens se taisaient)</w:t>
      </w:r>
      <w:r>
        <w:rPr/>
        <w:t xml:space="preserve">, Gallimard, p. 133 à 137.</w:t>
      </w:r>
    </w:p>
  </w:footnote>
  <w:footnote w:id="7">
    <w:p>
      <w:pPr>
        <w:pStyle w:val="Notedebasdepage"/>
      </w:pPr>
      <w:r>
        <w:rPr>
          <w:rStyle w:val="Appelnotedebasdep"/>
        </w:rPr>
        <w:footnoteRef/>
        <w:t xml:space="preserve"> </w:t>
      </w:r>
      <w:r>
        <w:rPr/>
        <w:t xml:space="preserve">Il faut revenir à cette période pour mesurer l’importance de cette décision du pouvoir français en Algérie. Ainsi, dans le n˚4 du 28.3.1957 de </w:t>
      </w:r>
      <w:r>
        <w:rPr>
          <w:i/>
        </w:rPr>
        <w:t xml:space="preserve">Résistance algérienne</w:t>
      </w:r>
      <w:r>
        <w:rPr/>
        <w:t xml:space="preserve">, on peut lire : « Répondant au vœu de l’Assemblée générale des Nations unies, le Gouvernement français vient de décider en Algérie la création de milices urbaines. Assez de sang versé, avait dit l’ONU, Lacoste répond : Constituons des milices. Cessez-le-feu, conseillait l’ONU, Lacoste vocifère : Armons les civils. Les deux parties en présence sont invitées à entrer en contact pour s’entendre sur une solution démocratique et pacifique recommandait l’ONU, Lacoste décrète que dorénavant tout Européen sera armé et devra tirer sur quiconque lui paraîtra suspect. La répression sauvage, inique, confinant au génocide devra avant toutes choses être combattue par les autorités, estimait-on alors. Lacoste répond : Systématisons la répression, organisons la chasse aux Algériens. Et symboliquement il remet les pouvoirs civils aux militaires, les pouvoirs militaires aux civils. Le cercle est fermé. Au milieu l’Algérien, désarmé, affamé, traqué, bousculé, frappé, lynché, bientôt abattu parce que suspect. Aujourd’hui, en Algérie, il n’y a pas un Français qui ne soit autorisé, invité à faire usage de son arme. Pas un Français, en Algérie, un mois après l’appel au calme de l’ONU, qui n’ait la permission, l’obligation de découvrir, de susciter, de poursuivre des suspects.</w:t>
      </w:r>
    </w:p>
    <w:p>
      <w:pPr>
        <w:pStyle w:val="Notedebasdepage"/>
      </w:pPr>
      <w:r>
        <w:rPr/>
        <w:t xml:space="preserve">« Un mois après le vote de la motion finale de l’Assemblée générale des Nations unies, pas un Européen, en Algérie, à être étranger à la plus épouvantable entreprise d’extermination des temps modernes. Solution démocratique ? D’accord concède Lacoste, commençons par supprimer les Algériens. Pour cela, armons les civils et laissons faire. La presse parisienne dans son ensemble, a accueilli avec réserve la création de ces groupes armés. Milice fascistes, a-t-on dit. Oui. Mais, à l’échelle de l’individu et du droit des gens, qu’est le fascisme sinon le colonialisme au sein de pays traditionnellement colonialistes ? Assassinats systématiquement légalisés, recommandés, a-t-on avancé. Mais la chair algérienne ne porte-t-elle pas depuis cent trente ans des blessures de plus en plus ouvertes, de plus en plus nombreuses, de plus en plus radicales ? Attention, conseille M. Kenne-Vignes, parlementaire MRP, ne risque-t-on pas, en créant ces milices, de voir se creuser bientôt un abîme entre les deux communautés d’Algérie ? Oui. Mais le statut colonial n’est-ce pas l’asservissement organisé de tout un peuple ? La Révolution algérienne est précisément la contestation affirmée de cet asservissement et de cet abîme. La Révolution algérienne s’adresse à la nation occupante et lui dit : « Enlevez vos crocs de la chair algérienne meurtrie et blessée ! Donnez voix au peuple algérien ! »</w:t>
      </w:r>
    </w:p>
    <w:p>
      <w:pPr>
        <w:pStyle w:val="Notedebasdepage"/>
      </w:pPr>
      <w:r>
        <w:rPr/>
        <w:t xml:space="preserve">« La création de ces milices, dit-on, permettra d’alléger les tâches de l’Armée. Elle libérera des unités dont la mission sera de protéger les frontières tunisienne et marocaine. Une armée forte de six cent mille hommes. La quasi-totalité de la Marine et de l’Aviation. Une police énorme, expéditive, au palmarès ahurissant, ayant absorbé les ex-tortionnaires des peuples tunisien et marocain. Des unités territoriales fortes de cent mille hommes. Il faut alléger l’Armée. Créons des milices urbaines. Tant il est vrai que la frénésie hystérique et criminelle de Lacoste en impose, même aux Français clairvoyants. La vérité est que la création de ces milices porte dans sa justification sa propre contradiction. Les tâches de l’Armée française sont infinies. Dès lors qu’on lui fixe comme objectif la remise du bâillon à la bouche algérienne se ferme toujours la porte sur l’avenir. Surtout, on s’interdit d’analyser, de comprendre, de mesurer la profondeur et la densité de la Révolution algérienne ; chefs d’arrondissements, chefs d’îlots, chefs de rues, chefs de buildings, chefs d’étages… Au quadrillage en surface s’ajoute aujourd’hui le quadrillage en hauteur.</w:t>
      </w:r>
    </w:p>
    <w:p>
      <w:pPr>
        <w:pStyle w:val="Notedebasdepage"/>
      </w:pPr>
      <w:r>
        <w:rPr/>
        <w:t xml:space="preserve">« En 48 heures deux mille candidatures sont enregistrées. Les Européens d’Algérie ont immédiatement répondu à l’appel au meurtre de Lacoste. Désormais, chaque Européen devra recenser dans son secteur les Algériens survivants. Renseignements, « réponse rapide » au terrorisme, détection de suspects, liquidation de « fuyards », renforcement des services de police. Certainement, il faut alléger les tâches de l’Armée. Au ratissage en surface s’ajoute aujourd’hui le ratissage en hauteur. Au meurtre artisanal s’ajoute aujourd’hui le meurtre planifié. Arrêtez l’écoulement de sang, avait conseillé l’ONU. Le meilleur moyen d’y parvenir, réplique Lacoste, est qu’il n’y ait plus de sang à verser. Le peuple algérien après avoir été livré aux hordes de Massu est confié aux bons soins des milices urbaines. En décidant la création de ces milices, Lacoste signifie nettement qu’il ne laissera pas toucher à SA guerre. Il prouve qu’il existe un infini dans le pourrissement. Certes, le voici maintenant prisonnier, mais quelle jouissance de perdre tout le monde avec soi.</w:t>
      </w:r>
    </w:p>
    <w:p>
      <w:pPr>
        <w:pStyle w:val="Notedebasdepage"/>
      </w:pPr>
      <w:r>
        <w:rPr/>
        <w:t xml:space="preserve">« Le peuple algérien après chacune de ces décisions augmente la contracture de ses muscles et l’intensité de sa lutte. Le peuple algérien, après chacun de ces assassinats sollicités et organisés, structure davantage sa prise de conscience et solidifie sa résistance. Oui. Les tâches de l’Armée française sont infinies. Car l’unité du peuple algérien est, ô combien, infinie !! »</w:t>
      </w:r>
    </w:p>
  </w:footnote>
  <w:footnote w:id="8">
    <w:p>
      <w:pPr>
        <w:pStyle w:val="Notedebasdepage"/>
      </w:pPr>
      <w:r>
        <w:rPr>
          <w:rStyle w:val="Appelnotedebasdep"/>
        </w:rPr>
        <w:footnoteRef/>
        <w:t xml:space="preserve"> </w:t>
      </w:r>
      <w:r>
        <w:rPr/>
        <w:t xml:space="preserve">C’est pourquoi, au début des hostilités, il n’y a pas de prisonniers. C’est seulement par la politisation des cadres que les dirigeants arrivent à faire admettre aux masses : 1) que les gens qui viennent de la métropole ne sont pas toujours volontaires et quelquefois même sont écœurés par cette guerre ; 2) que l’intérêt actuel de la lutte veut que le mouvement manifeste dans son action le respect de certaines conventions internationales ; 3) qu’une armée qui fait des prisonniers est une armée, et cesse d’être considérée comme un groupe d’écumeurs de routes ; 4) qu’en tout état de cause la possession des prisonniers constitue un moyen de pression non négligeable pour protéger nos militants détenus par l’ennemi.</w:t>
      </w:r>
    </w:p>
  </w:footnote>
  <w:footnote w:id="9">
    <w:p>
      <w:pPr>
        <w:pStyle w:val="Notedebasdepage"/>
      </w:pPr>
      <w:r>
        <w:rPr>
          <w:rStyle w:val="Appelnotedebasdep"/>
        </w:rPr>
        <w:footnoteRef/>
        <w:t xml:space="preserve"> </w:t>
      </w:r>
      <w:r>
        <w:rPr/>
        <w:t xml:space="preserve">Dans le contexte international actuel, le capitalisme n’exerce pas le blocus économique contre les seules colonies africaines ou asiatiques. Les États-Unis, avec l’opération anticastriste, inaugurent dans l’hémisphère américain un nouveau chapitre de l’histoire de la libération laborieuse de l’homme. L’Amérique latine formée de pays indépendants siégeant à l’ONU et battant monnaie devrait constituer une leçon pour l’Afrique. Ces anciennes colonies depuis leur libération subissent dans la terreur et le dénuement la loi d’airain du capitalisme occidental.</w:t>
      </w:r>
    </w:p>
    <w:p>
      <w:pPr>
        <w:pStyle w:val="Notedebasdepage"/>
      </w:pPr>
      <w:r>
        <w:rPr/>
        <w:t xml:space="preserve">La libération de l’Afrique, le développement de la conscience des hommes ont permis aux peuples latino-américains de briser avec la vieille danse des dictatures où les régimes se succédaient en se ressemblant. Castro prend le pouvoir à Cuba et le donne au peuple. Cette hérésie est ressentie comme fléau national chez les yankees et les États-Unis organisent des brigades contre-révolutionnaires, fabriquent un gouvernement provisoire, incendient les récoltes de canne, décident enfin d’étrangler impitoyablement le peuple cubain. Mais ce sera difficile. Le peuple cubain souffrira mais il vaincra. Le président brésilien Janos Quadros, dans une déclaration d’importance historique, vient d’affirmer que son pays défendra par tous les moyens la Révolution cubaine. Les États-Unis eux aussi vont peut-être reculer devant la volonté des peuples. Ce jour-là, nous pavoiserons, car ce sera un jour décisif pour les hommes et pour les femmes du monde entier. Le dollar qui, somme toute, n’est garanti que par les esclaves répartis sur le globe, dans les puits de pétrole du Moyen-Orient, les mines du Pérou ou du Congo, les plantations de l’United Fruit ou de Firestone, cessera alors de dominer de toute sa puissance ces esclaves qui l’ont créé et qui continuent tête vide et ventre vide à le nourrir de leur substance.</w:t>
      </w:r>
    </w:p>
  </w:footnote>
  <w:footnote w:id="10">
    <w:p>
      <w:pPr>
        <w:pStyle w:val="Notedebasdepage"/>
      </w:pPr>
      <w:r>
        <w:rPr>
          <w:rStyle w:val="Appelnotedebasdep"/>
        </w:rPr>
        <w:footnoteRef/>
        <w:t xml:space="preserve"> </w:t>
      </w:r>
      <w:r>
        <w:rPr/>
        <w:t xml:space="preserve">Certains pays favorisés par un peuplement européen important accèdent à l’indépendance avec des murs et des avenues et ont tendance à oublier l’arrière-pays misérable et affamé. Ironie du sort, par une sorte de silence complice, ils font comme si leurs villes étaient contemporaines de l’indépendance.</w:t>
      </w:r>
    </w:p>
  </w:footnote>
  <w:footnote w:id="11">
    <w:p>
      <w:pPr>
        <w:pStyle w:val="Notedebasdepage"/>
      </w:pPr>
      <w:r>
        <w:rPr>
          <w:rStyle w:val="Appelnotedebasdep"/>
        </w:rPr>
        <w:footnoteRef/>
        <w:t xml:space="preserve"> </w:t>
      </w:r>
      <w:r>
        <w:rPr/>
        <w:t xml:space="preserve">Et il est vrai que l’Allemagne n’a pas intégralement réparé les crimes de guerre. Les indemnités imposées à la nation vaincue n’ont pas été réclamées en totalité car les nations lésées ont inclus l’Allemagne dans leur système défensif, anticommuniste. C’est cette préoccupation permanente qui anime les pays colonialistes quand ils essaient d’obtenir de leurs anciennes colonies, à défaut de l’inclusion dans le système occidental, des bases militaires et des enclaves. Ils ont décidé d’un commun accord d’oublier leurs revendications au nom de la stratégie de l’OTAN, au nom du monde libre. Et l’on a vu l’Allemagne recevoir par vagues successives des dollars et des machines. Une Allemagne redressée, forte et puissante était une nécessité pour le camp occidental. L’intérêt bien compris de l’Europe dite libre voulait une Allemagne prospère, reconstruite et capable de servir de premier rempart aux éventuelles hordes rouges. L’Allemagne a merveilleusement utilisé la crise européenne. Aussi les États-Unis et les autres États européens éprouvent-ils une légitime amertume devant cette Allemagne, hier à genou, qui leur livre aujourd’hui sur le marché économique une concurrence implacable.</w:t>
      </w:r>
    </w:p>
  </w:footnote>
  <w:footnote w:id="12">
    <w:p>
      <w:pPr>
        <w:pStyle w:val="Notedebasdepage"/>
      </w:pPr>
      <w:r>
        <w:rPr>
          <w:rStyle w:val="Appelnotedebasdep"/>
        </w:rPr>
        <w:footnoteRef/>
        <w:t xml:space="preserve"> </w:t>
      </w:r>
      <w:r>
        <w:rPr/>
        <w:t xml:space="preserve">« Distinguer radicalement l’édification du socialisme en Europe des « rapports avec le tiers monde » (comme si nous n’avions avec celui-ci que des relations d’extériorité), c’est, consciemment ou non, donner le pas à l’aménagement de l’héritage colonial sur la libération des pays sous-développés, c’est vouloir construire un socialisme de luxe sur les fruits de la rapine impériale – comme, à l’intérieur d’un gang, on se répartirait plus ou moins équitablement le butin, quitte à en distribuer un peu aux pauvres sous forme de bonnes œuvres, en oubliant que c’est à eux qu’on l’a volé ». Marcel Péju, « Mourir pour de Gaulle ? », </w:t>
      </w:r>
      <w:r>
        <w:rPr>
          <w:i/>
        </w:rPr>
        <w:t xml:space="preserve">Les Temps modernes</w:t>
      </w:r>
      <w:r>
        <w:rPr/>
        <w:t xml:space="preserve">, n° 175-176, octobre-novembre 1960.</w:t>
      </w:r>
    </w:p>
  </w:footnote>
  <w:footnote w:id="13">
    <w:p>
      <w:pPr>
        <w:pStyle w:val="Notedebasdepage"/>
      </w:pPr>
      <w:r>
        <w:rPr>
          <w:rStyle w:val="Appelnotedebasdep"/>
        </w:rPr>
        <w:footnoteRef/>
        <w:t xml:space="preserve"> </w:t>
      </w:r>
      <w:r>
        <w:rPr/>
        <w:t xml:space="preserve">Mamadou Dia, </w:t>
      </w:r>
      <w:r>
        <w:rPr>
          <w:i/>
        </w:rPr>
        <w:t xml:space="preserve">Nations africaines et solidarité mondiale</w:t>
      </w:r>
      <w:r>
        <w:rPr/>
        <w:t xml:space="preserve">, PUF, 1960, p. 140.</w:t>
      </w:r>
    </w:p>
  </w:footnote>
  <w:footnote w:id="14">
    <w:p>
      <w:pPr>
        <w:pStyle w:val="Notedebasdepage"/>
      </w:pPr>
      <w:r>
        <w:rPr>
          <w:rStyle w:val="Appelnotedebasdep"/>
        </w:rPr>
        <w:footnoteRef/>
        <w:t xml:space="preserve"> </w:t>
      </w:r>
      <w:r>
        <w:rPr/>
        <w:t xml:space="preserve">Mamadou Dia, </w:t>
      </w:r>
      <w:r>
        <w:rPr>
          <w:i/>
        </w:rPr>
        <w:t xml:space="preserve">op. cit</w:t>
      </w:r>
      <w:r>
        <w:rPr/>
        <w:t xml:space="preserve">.</w:t>
      </w:r>
    </w:p>
  </w:footnote>
  <w:footnote w:id="15">
    <w:p>
      <w:pPr>
        <w:pStyle w:val="Notedebasdepage"/>
      </w:pPr>
      <w:r>
        <w:rPr>
          <w:rStyle w:val="Appelnotedebasdep"/>
        </w:rPr>
        <w:footnoteRef/>
        <w:t xml:space="preserve"> </w:t>
      </w:r>
      <w:r>
        <w:rPr/>
        <w:t xml:space="preserve">« Le leader politique considéré comme le représentant d’une culture », communication au deuxième Congrès des écrivains et artistes noirs, Rome, 1959.</w:t>
      </w:r>
    </w:p>
  </w:footnote>
  <w:footnote w:id="16">
    <w:p>
      <w:pPr>
        <w:pStyle w:val="Notedebasdepage"/>
      </w:pPr>
      <w:r>
        <w:rPr>
          <w:rStyle w:val="Appelnotedebasdep"/>
        </w:rPr>
        <w:footnoteRef/>
        <w:t xml:space="preserve"> </w:t>
      </w:r>
      <w:r>
        <w:rPr/>
        <w:t xml:space="preserve">René Depestre, </w:t>
      </w:r>
      <w:r>
        <w:rPr>
          <w:i/>
        </w:rPr>
        <w:t xml:space="preserve">Face à la nuit.</w:t>
      </w:r>
    </w:p>
  </w:footnote>
  <w:footnote w:id="17">
    <w:p>
      <w:pPr>
        <w:pStyle w:val="Notedebasdepage"/>
      </w:pPr>
      <w:r>
        <w:rPr>
          <w:rStyle w:val="Appelnotedebasdep"/>
        </w:rPr>
        <w:footnoteRef/>
        <w:t xml:space="preserve"> </w:t>
      </w:r>
      <w:r>
        <w:rPr/>
        <w:t xml:space="preserve">René Depestre, </w:t>
      </w:r>
      <w:r>
        <w:rPr>
          <w:i/>
        </w:rPr>
        <w:t xml:space="preserve">Face à la nuit</w:t>
      </w:r>
      <w:r>
        <w:rPr/>
        <w:t xml:space="preserve">.</w:t>
      </w:r>
    </w:p>
  </w:footnote>
  <w:footnote w:id="18">
    <w:p>
      <w:pPr>
        <w:pStyle w:val="Notedebasdepage"/>
      </w:pPr>
      <w:r>
        <w:rPr>
          <w:rStyle w:val="Appelnotedebasdep"/>
        </w:rPr>
        <w:footnoteRef/>
        <w:t xml:space="preserve"> </w:t>
      </w:r>
      <w:r>
        <w:rPr/>
        <w:t xml:space="preserve">René Char, </w:t>
      </w:r>
      <w:r>
        <w:rPr>
          <w:i/>
        </w:rPr>
        <w:t xml:space="preserve">Partage formel</w:t>
      </w:r>
      <w:r>
        <w:rPr/>
        <w:t xml:space="preserve">.</w:t>
      </w:r>
    </w:p>
  </w:footnote>
  <w:footnote w:id="19">
    <w:p>
      <w:pPr>
        <w:pStyle w:val="Notedebasdepage"/>
      </w:pPr>
      <w:r>
        <w:rPr>
          <w:rStyle w:val="Appelnotedebasdep"/>
        </w:rPr>
        <w:footnoteRef/>
        <w:t xml:space="preserve"> </w:t>
      </w:r>
      <w:r>
        <w:rPr/>
        <w:t xml:space="preserve">À la dernière distribution des prix à Dakar, le président de la République sénégalaise, Léopold Senghor, a décidé d’inscrire dans les programmes l’étude de la notion de négritude. Si le souci exprimé par le président de la République du Sénégal est d’ordre historique, on ne peut qu’être d’accord. Si, au contraire, il s’agit de fabriquer des consciences noires, c’est tout simplement tourner le dos à l’histoire qui a déjà pris acte de la disparition de la majorité des nègres.</w:t>
      </w:r>
    </w:p>
  </w:footnote>
  <w:footnote w:id="20">
    <w:p>
      <w:pPr>
        <w:pStyle w:val="Notedebasdepage"/>
      </w:pPr>
      <w:r>
        <w:rPr>
          <w:rStyle w:val="Appelnotedebasdep"/>
        </w:rPr>
        <w:footnoteRef/>
        <w:t xml:space="preserve"> </w:t>
      </w:r>
      <w:r>
        <w:rPr/>
        <w:t xml:space="preserve">Dans l’introduction non publiée dans les deux premières éditions de </w:t>
      </w:r>
      <w:r>
        <w:rPr>
          <w:i/>
        </w:rPr>
        <w:t xml:space="preserve">L’An V de la révolution algérienne</w:t>
      </w:r>
      <w:r>
        <w:rPr/>
        <w:t xml:space="preserve">, nous signalions déjà que toute une génération d’Algériens, baignée dans l’homicide gratuit et collectif avec les conséquences psychoaffectives que cela entraîne, serait l’héritage humain de la France en Algérie. Les hommes français qui condamnent la torture en Algérie adoptent constamment un point de vue strictement français. Ce n’est pas un reproche, c’est une constatation : on veut protéger la conscience des tortionnaires actuels et en puissance et l’on tente d’éviter le pourrissement moral de la jeunesse française. Nous ne pouvons quant à nous qu’être d’accord avec cette démarche. Certaines observations réunies ici, principalement les cas numéros 4 et 5 de la série A illustrent et justifient tristement cette hantise des démocrates français. Notre propos, en tout cas, est de montrer que la torture subie disloque très profondément on s’en serait douté, la personnalité du torturé.</w:t>
      </w:r>
    </w:p>
  </w:footnote>
  <w:footnote w:id="21">
    <w:p>
      <w:pPr>
        <w:pStyle w:val="Notedebasdepage"/>
      </w:pPr>
      <w:r>
        <w:rPr>
          <w:rStyle w:val="Appelnotedebasdep"/>
        </w:rPr>
        <w:footnoteRef/>
        <w:t xml:space="preserve"> </w:t>
      </w:r>
      <w:r>
        <w:rPr/>
        <w:t xml:space="preserve">Les circonstances d’apparition de ces troubles sont intéressantes à plus d’un titre. Plusieurs mois après l’indépendance de son pays, il avait fait la connaissance de ressortissants de l’ancienne nation occupante. Il les avait trouvés sympathiques. Ces hommes et ces femmes saluaient l’indépendance acquise et rendaient hommage sans réserve au courage des patriotes dans la lutte de libération nationale. Ce militant eut alors une sorte de vertige. Il se demanda avec angoisse si parmi les victimes de la bombe il aurait pu se trouver des gens semblables à ses interlocuteurs. Certes, le café visé était un repaire de racistes notoire, mais rien n’interdisait à un quelconque passant d’y rentrer et de consommer. À partir du jour où il eut ce premier vertige, l’homme essaya d’éviter de penser aux événements anciens. Or, paradoxalement, quelques jours avant la date critique, les premiers troubles apparaissaient. Depuis, ils se répètent très régulièrement.</w:t>
      </w:r>
    </w:p>
    <w:p>
      <w:pPr>
        <w:pStyle w:val="Notedebasdepage"/>
      </w:pPr>
      <w:r>
        <w:rPr/>
        <w:t xml:space="preserve">Autrement dit, nos actes ne cessent jamais de nous poursuivre. Leur arrangement, leur mise en ordre, leur motivation peuvent parfaitement </w:t>
      </w:r>
      <w:r>
        <w:rPr>
          <w:i/>
        </w:rPr>
        <w:t xml:space="preserve">a posteriori</w:t>
      </w:r>
      <w:r>
        <w:rPr/>
        <w:t xml:space="preserve"> se trouver profondément modifiés. Ce n’est pas l’un des moindres pièges que nous tend l’Histoire et ses multiples déterminations. Mais pouvons-nous échapper au vertige ? Qui oserait prétendre que le vertige ne hante pas toute existence ?</w:t>
      </w:r>
    </w:p>
  </w:footnote>
  <w:footnote w:id="22">
    <w:p>
      <w:pPr>
        <w:pStyle w:val="Notedebasdepage"/>
      </w:pPr>
      <w:r>
        <w:rPr>
          <w:rStyle w:val="Appelnotedebasdep"/>
        </w:rPr>
        <w:footnoteRef/>
        <w:t xml:space="preserve"> </w:t>
      </w:r>
      <w:r>
        <w:rPr/>
        <w:t xml:space="preserve">Après l’expertise médico-légale qui mit en évidence le caractère pathologique de l’acte, les poursuites judiciaires décidées par l’État-Major de l’ALN cessèrent.</w:t>
      </w:r>
    </w:p>
  </w:footnote>
  <w:footnote w:id="23">
    <w:p>
      <w:pPr>
        <w:pStyle w:val="Notedebasdepage"/>
      </w:pPr>
      <w:r>
        <w:rPr>
          <w:rStyle w:val="Appelnotedebasdep"/>
        </w:rPr>
        <w:footnoteRef/>
        <w:t xml:space="preserve"> </w:t>
      </w:r>
      <w:r>
        <w:rPr/>
        <w:t xml:space="preserve">On se trouve en présence avec cette observation d’un système cohérent qui ne laisse rien intact. Le bourreau qui aime les oiseaux ou jouit dans le calme d’une symphonie ou d’une sonate, c’est tout simplement une étape. Plus loin, il y a bel et bien une existence qui s’inscrit sur le registre d’un sadisme radical et absolu.</w:t>
      </w:r>
    </w:p>
  </w:footnote>
  <w:footnote w:id="24">
    <w:p>
      <w:pPr>
        <w:pStyle w:val="Notedebasdepage"/>
      </w:pPr>
      <w:r>
        <w:rPr>
          <w:rStyle w:val="Appelnotedebasdep"/>
        </w:rPr>
        <w:footnoteRef/>
        <w:t xml:space="preserve"> </w:t>
      </w:r>
      <w:r>
        <w:rPr/>
        <w:t xml:space="preserve">Rivet est un village qui, depuis certain jour de l’année 1956, est devenu célèbre dans la région de l’Algérois. Un soir, en effet, le village fut envahi par des miliciens français qui, après avoir arraché de leurs lits quarante hommes, les assassinèrent.</w:t>
      </w:r>
    </w:p>
  </w:footnote>
  <w:footnote w:id="25">
    <w:p>
      <w:pPr>
        <w:pStyle w:val="Notedebasdepage"/>
      </w:pPr>
      <w:r>
        <w:rPr>
          <w:rStyle w:val="Appelnotedebasdep"/>
        </w:rPr>
        <w:footnoteRef/>
        <w:t xml:space="preserve"> </w:t>
      </w:r>
      <w:r>
        <w:rPr/>
        <w:t xml:space="preserve">Au cours de l’année 1955, les cas de ce genre furent extrêmement nombreux en Algérie. Malheureusement tous les malades n’eurent pas la chance d’arriver à l’hôpital.</w:t>
      </w:r>
    </w:p>
  </w:footnote>
  <w:footnote w:id="26">
    <w:p>
      <w:pPr>
        <w:pStyle w:val="Notedebasdepage"/>
      </w:pPr>
      <w:r>
        <w:rPr>
          <w:rStyle w:val="Appelnotedebasdep"/>
        </w:rPr>
        <w:footnoteRef/>
        <w:t xml:space="preserve"> </w:t>
      </w:r>
      <w:r>
        <w:rPr/>
        <w:t xml:space="preserve">Ce type de torture est la cause d’un grand nombre de décès. Après ces lavements à haute pression, en effet, la muqueuse intestinale est le lieu de multiples lésions provoquant des microperforations intestinales. Les embolies gazeuses et les péritonites sont alors très fréquentes.</w:t>
      </w:r>
    </w:p>
  </w:footnote>
  <w:footnote w:id="27">
    <w:p>
      <w:pPr>
        <w:pStyle w:val="Notedebasdepage"/>
      </w:pPr>
      <w:r>
        <w:rPr>
          <w:rStyle w:val="Appelnotedebasdep"/>
        </w:rPr>
        <w:footnoteRef/>
        <w:t xml:space="preserve"> </w:t>
      </w:r>
      <w:r>
        <w:rPr/>
        <w:t xml:space="preserve">Nous parlons évidemment d’Algériens qui, sachant quelque chose, n’ont pas avoué sous la torture, car on sait bien qu’un Algérien qui avoue est tué aussitôt après.</w:t>
      </w:r>
    </w:p>
  </w:footnote>
  <w:footnote w:id="28">
    <w:p>
      <w:pPr>
        <w:pStyle w:val="Notedebasdepage"/>
      </w:pPr>
      <w:r>
        <w:rPr>
          <w:rStyle w:val="Appelnotedebasdep"/>
        </w:rPr>
        <w:footnoteRef/>
        <w:t xml:space="preserve"> </w:t>
      </w:r>
      <w:r>
        <w:rPr/>
        <w:t xml:space="preserve">Le corps médical doit se relayer jour et nuit auprès du malade dans un travail d’explication. On comprend que la formule « brutalisons un peu le malade » ne puisse être valablement utilisée ici.</w:t>
      </w:r>
    </w:p>
  </w:footnote>
  <w:footnote w:id="29">
    <w:p>
      <w:pPr>
        <w:pStyle w:val="Notedebasdepage"/>
      </w:pPr>
      <w:r>
        <w:rPr>
          <w:rStyle w:val="Appelnotedebasdep"/>
        </w:rPr>
        <w:footnoteRef/>
        <w:t xml:space="preserve"> </w:t>
      </w:r>
      <w:r>
        <w:rPr/>
        <w:t xml:space="preserve">Cette torture préventive devient, dans certaines régions, « répression préventive ». C’est ainsi qu’à Rivet, alors que le calme régnait, les colons ne voulant pas être pris au dépourvu (les régions avoisinantes commençaient à s’agiter) décidèrent de supprimer purement et simplement les éventuels membres du FLN. Plus de quarante Algériens furent tués en une seule journée.</w:t>
      </w:r>
    </w:p>
  </w:footnote>
  <w:footnote w:id="30">
    <w:p>
      <w:pPr>
        <w:pStyle w:val="Notedebasdepage"/>
      </w:pPr>
      <w:r>
        <w:rPr>
          <w:rStyle w:val="Appelnotedebasdep"/>
        </w:rPr>
        <w:footnoteRef/>
        <w:t xml:space="preserve"> </w:t>
      </w:r>
      <w:r>
        <w:rPr/>
        <w:t xml:space="preserve">En fait, il n’est pas étranger du tout. Le conflit n’est que le résultat de l’évolution dynamique de la personnalité où il ne saurait y avoir de « corps étranger ». Disons plutôt qu’il s’agit d’un corps mal intégré.</w:t>
      </w:r>
    </w:p>
  </w:footnote>
  <w:footnote w:id="31">
    <w:p>
      <w:pPr>
        <w:pStyle w:val="Notedebasdepage"/>
      </w:pPr>
      <w:r>
        <w:rPr>
          <w:rStyle w:val="Appelnotedebasdep"/>
        </w:rPr>
        <w:footnoteRef/>
        <w:t xml:space="preserve"> </w:t>
      </w:r>
      <w:r>
        <w:rPr/>
        <w:t xml:space="preserve">Nous citerons également le cas de psychiatres animant les groupes « Présence française » qui, désignés pour expertiser un prisonnier, avaient l’habitude, au premier contact, de proclamer leur grande amitié avec l’avocat défenseur et d’affirmer qu’à eux deux (l’avocat et lui) ils sortiraient de là le prisonnier. Tous les prisonniers expertisés dans ces conditions ont été guillotinés. Ces psychiatres se vantaient devant nous de cette manière élégante de vaincre les « résistances ».</w:t>
      </w:r>
    </w:p>
  </w:footnote>
  <w:footnote w:id="32">
    <w:p>
      <w:pPr>
        <w:pStyle w:val="Notedebasdepage"/>
      </w:pPr>
      <w:r>
        <w:rPr>
          <w:rStyle w:val="Appelnotedebasdep"/>
        </w:rPr>
        <w:footnoteRef/>
        <w:t xml:space="preserve"> </w:t>
      </w:r>
      <w:r>
        <w:rPr/>
        <w:t xml:space="preserve">On sait qu’il s’est développé aux États-Unis d’Amérique un courant psychosociologique. Des tenants de cette école pensent que le drame de l’individu contemporain est contenu dans le fait qu’il ne tient plus de rôle, que le mécanisme social l’accule à n’être qu’un rouage. D’où la thérapeutique proposée pour permettre à l’homme de tenir des rôles dans une véritable activité ludique. On joue n’importe quel rôle, on change même de rôle dans la même journée, on est capable de se mettre à la place de n’importe qui symboliquement. Les psychiatres d’usine aux États-Unis font paraît-il des prodiges dans la psychothérapie de groupes des ouvriers. On leur permet en effet de s’identifier à des héros. La tension dans les rapports patrons-ouvriers s’en trouve considérablement diminuée.</w:t>
      </w:r>
    </w:p>
  </w:footnote>
  <w:footnote w:id="33">
    <w:p>
      <w:pPr>
        <w:pStyle w:val="Notedebasdepage"/>
      </w:pPr>
      <w:r>
        <w:rPr>
          <w:rStyle w:val="Appelnotedebasdep"/>
        </w:rPr>
        <w:footnoteRef/>
        <w:t xml:space="preserve"> </w:t>
      </w:r>
      <w:r>
        <w:rPr/>
        <w:t xml:space="preserve">Cette appellation qui exprime une conception idéaliste est de plus en plus abandonnée. Effectivement, la terminologie cortico-viscérale héritée des travaux soviétiques – surtout de Pavlov – a du moins l’avantage de remettre le cerveau à sa place, c’est-à-dire de le considérer comme la matrice où s’élabore précisément le psychisme.</w:t>
      </w:r>
    </w:p>
  </w:footnote>
  <w:footnote w:id="34">
    <w:p>
      <w:pPr>
        <w:pStyle w:val="Notedebasdepage"/>
      </w:pPr>
      <w:r>
        <w:rPr>
          <w:rStyle w:val="Appelnotedebasdep"/>
        </w:rPr>
        <w:footnoteRef/>
        <w:t xml:space="preserve"> </w:t>
      </w:r>
      <w:r>
        <w:rPr/>
        <w:t xml:space="preserve">Plus on est élevé sur le plan neurologique, moins on est extra-pyramidal. Comme on le voit, tout semblait concorder.</w:t>
      </w:r>
    </w:p>
  </w:footnote>
  <w:footnote w:id="35">
    <w:p>
      <w:pPr>
        <w:pStyle w:val="Notedebasdepage"/>
      </w:pPr>
      <w:r>
        <w:rPr>
          <w:rStyle w:val="Appelnotedebasdep"/>
        </w:rPr>
        <w:footnoteRef/>
        <w:t xml:space="preserve"> </w:t>
      </w:r>
      <w:r>
        <w:rPr/>
        <w:t xml:space="preserve">Il est superflu d’ajouter qu’il ne s’agit pas ici de contracture hystérique.</w:t>
      </w:r>
    </w:p>
  </w:footnote>
  <w:footnote w:id="36">
    <w:p>
      <w:pPr>
        <w:pStyle w:val="Notedebasdepage"/>
      </w:pPr>
      <w:r>
        <w:rPr>
          <w:rStyle w:val="Appelnotedebasdep"/>
        </w:rPr>
        <w:footnoteRef/>
        <w:t xml:space="preserve"> </w:t>
      </w:r>
      <w:r>
        <w:rPr/>
        <w:t xml:space="preserve">On sait en effet que l’islam fait obligation de ne pas consommer la viande sans s’être assuré que l’animal a été vidé de son sang. C’est pour quoi les bêtes sont égorgées.</w:t>
      </w:r>
    </w:p>
  </w:footnote>
  <w:footnote w:id="37">
    <w:p>
      <w:pPr>
        <w:pStyle w:val="Notedebasdepage"/>
      </w:pPr>
      <w:r>
        <w:rPr>
          <w:rStyle w:val="Appelnotedebasdep"/>
        </w:rPr>
        <w:footnoteRef/>
        <w:t xml:space="preserve"> </w:t>
      </w:r>
      <w:r>
        <w:rPr/>
        <w:t xml:space="preserve">Professeur A. Porot, </w:t>
      </w:r>
      <w:r>
        <w:rPr>
          <w:i/>
        </w:rPr>
        <w:t xml:space="preserve">Annales médico-psychologiques</w:t>
      </w:r>
      <w:r>
        <w:rPr/>
        <w:t xml:space="preserve">, 1918.</w:t>
      </w:r>
    </w:p>
  </w:footnote>
  <w:footnote w:id="38">
    <w:p>
      <w:pPr>
        <w:pStyle w:val="Notedebasdepage"/>
      </w:pPr>
      <w:r>
        <w:rPr>
          <w:rStyle w:val="Appelnotedebasdep"/>
        </w:rPr>
        <w:footnoteRef/>
        <w:t xml:space="preserve"> </w:t>
      </w:r>
      <w:r>
        <w:rPr/>
        <w:t xml:space="preserve">Dans la bouche du doyen des juges d’une chambre d’Alger cette agressivité de l’Algérien se traduit par son amour de la « fantasia ». « Toute cette révolte, disait-il en </w:t>
      </w:r>
      <w:r>
        <w:rPr>
          <w:i/>
        </w:rPr>
        <w:t xml:space="preserve">1955</w:t>
      </w:r>
      <w:r>
        <w:rPr/>
        <w:t xml:space="preserve">, on a tort de la croire politique. De temps à autre, il faut que ça sorte cet amour du baroud qu’ils ont ! » Pour l’ethnologue, établir une série de tests et de jeux projectifs susceptibles de canaliser les instincts agressifs globaux de l’indigène aurait pu en 1955-1956 stopper la révolution dans les Aurès.</w:t>
      </w:r>
    </w:p>
  </w:footnote>
  <w:footnote w:id="39">
    <w:p>
      <w:pPr>
        <w:pStyle w:val="Notedebasdepage"/>
      </w:pPr>
      <w:r>
        <w:rPr>
          <w:rStyle w:val="Appelnotedebasdep"/>
        </w:rPr>
        <w:footnoteRef/>
        <w:t xml:space="preserve"> </w:t>
      </w:r>
      <w:r>
        <w:rPr/>
        <w:t xml:space="preserve">Carothers, « Psychologie normale et pathologique de l’Africain », </w:t>
      </w:r>
      <w:r>
        <w:rPr>
          <w:i/>
        </w:rPr>
        <w:t xml:space="preserve">Études ethno-psychiatriques</w:t>
      </w:r>
      <w:r>
        <w:rPr/>
        <w:t xml:space="preserve">, Masson éditeur.</w:t>
      </w:r>
    </w:p>
  </w:footnote>
  <w:footnote w:id="40">
    <w:p>
      <w:pPr>
        <w:pStyle w:val="Notedebasdepage"/>
      </w:pPr>
      <w:r>
        <w:rPr>
          <w:rStyle w:val="Appelnotedebasdep"/>
        </w:rPr>
        <w:footnoteRef/>
        <w:t xml:space="preserve"> </w:t>
      </w:r>
      <w:r>
        <w:rPr>
          <w:i/>
        </w:rPr>
        <w:t xml:space="preserve">Ibid</w:t>
      </w:r>
      <w:r>
        <w:rPr/>
        <w:t xml:space="preserve">., p. 176.</w:t>
      </w:r>
    </w:p>
  </w:footnote>
  <w:footnote w:id="41">
    <w:p>
      <w:pPr>
        <w:pStyle w:val="Notedebasdepage"/>
      </w:pPr>
      <w:r>
        <w:rPr>
          <w:rStyle w:val="Appelnotedebasdep"/>
        </w:rPr>
        <w:footnoteRef/>
        <w:t xml:space="preserve"> </w:t>
      </w:r>
      <w:r>
        <w:rPr>
          <w:i/>
        </w:rPr>
        <w:t xml:space="preserve">Ibid</w:t>
      </w:r>
      <w:r>
        <w:rPr/>
        <w:t xml:space="preserve">., p. 178.</w:t>
      </w:r>
    </w:p>
  </w:footnote>
  <w:footnote w:id="42">
    <w:p>
      <w:pPr>
        <w:pStyle w:val="Notedebasdepage"/>
      </w:pPr>
      <w:r>
        <w:rPr>
          <w:rStyle w:val="Appelnotedebasdep"/>
        </w:rPr>
        <w:footnoteRef/>
        <w:t xml:space="preserve"> </w:t>
      </w:r>
      <w:r>
        <w:rPr/>
        <w:t xml:space="preserve">Il est clair d’ailleurs que cette identification à l’image produite par l’Européen était très ambivalente. L’Européen en effet semblait rendre un hommage – également ambivalent – à l’Algérien violent, passionné, brutal, jaloux, fier, orgueilleux qui joue sa vie sur un détail ou sur un mot, etc. Signalons en passant que dans les confrontations avec le Français de France, les Européens d’Algérie tendent de plus en plus à s’identifier à cette image de l’Algérien par opposition au Français.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classiques.uqac.ca/classiques/Engels_friedrich/anti_duhring/anti_duhring.html" TargetMode="External" Type="http://schemas.openxmlformats.org/officeDocument/2006/relationships/hyperlink" Id="ref1"/></Relationships>
</file>