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Il faut examiner dans cette rubrique le livre </w:t>
      </w:r>
      <w:r>
        <w:rPr>
          <w:i/>
        </w:rPr>
        <w:t xml:space="preserve">: Elementi di scienza politica</w:t>
      </w:r>
      <w:r>
        <w:rPr/>
        <w:t xml:space="preserve"> de Mosca (nouvelle édition augmentée de 1923). Ce que Mosca appelle la « classe politique » n’est autre que la catégorie intellectuelle du groupe social dominant : le concept de « classe politique » de Mosca est à rapprocher du concept d’élite chez Pareto, qui est une autre tentative pour interpréter le phénomène historique des intellectuels et leur fonction dans la vie de l’Etat et de la société. Le livre de Mosca est un énorme fatras à caractère sociologique et positiviste, avec, en plus, un esprit tendancieux de politique immédiate qui le rend moins indigeste et plus vivant du point de vue littéraire. </w:t>
      </w:r>
      <w:r>
        <w:rPr>
          <w:i/>
        </w:rPr>
        <w:t xml:space="preserve">(Note de Gramsci.)</w:t>
      </w:r>
    </w:p>
  </w:footnote>
  <w:footnote w:id="2">
    <w:p>
      <w:pPr>
        <w:pStyle w:val="Notedebasdepage"/>
      </w:pPr>
      <w:r>
        <w:rPr>
          <w:rStyle w:val="Appelnotedebasdep"/>
        </w:rPr>
        <w:footnoteRef/>
        <w:t xml:space="preserve"> </w:t>
      </w:r>
      <w:r>
        <w:rPr/>
        <w:t xml:space="preserve">Les groupes sociaux « essentiels » sont ceux qui ont été, ou sont, du point de vue historique, en mesure d’assumer le pouvoir et de prendre la direction des autres classes : tels sont, par exemple, la bourgeoisie et le prolétariat. – Voir « Clergé et intellectuels » : « Cette lutte a revêtu des caractères différents aux différentes époques. Dans la phase moderne, c’est la lutte pour l’hégémonie dans le domaine de l’éducation populaire, c’est le trait le plus caractéristique auquel tous les autres sont subordonnés. Il s’agit par conséquent de la lutte entre deux catégories d’intellectuels, lutte pour subordonner le clergé, comme catégorie type d’intellectuels, aux directives de l’Etat, c’est-à-dire de la classe dominante (liberté de l’enseignement - organisations de jeunes -organisations féminines – organisations professionnelles). » (Int., pp. 39-40).</w:t>
      </w:r>
    </w:p>
  </w:footnote>
  <w:footnote w:id="3">
    <w:p>
      <w:pPr>
        <w:pStyle w:val="Notedebasdepage"/>
      </w:pPr>
      <w:r>
        <w:rPr>
          <w:rStyle w:val="Appelnotedebasdep"/>
        </w:rPr>
        <w:footnoteRef/>
        <w:t xml:space="preserve"> </w:t>
      </w:r>
      <w:r>
        <w:rPr/>
        <w:t xml:space="preserve">Pour une catégorie de ces intellectuels, la plus importante peut-être après celle des « ecclésiastiques » par le prestige qu’elle a eu et la fonction sociale qu’elle a remplie dans les sociétés primitives - la catégorie des </w:t>
      </w:r>
      <w:r>
        <w:rPr>
          <w:i/>
        </w:rPr>
        <w:t xml:space="preserve">médecins</w:t>
      </w:r>
      <w:r>
        <w:rPr/>
        <w:t xml:space="preserve">, au sens large du terme, c’est-à-dire de tous ceux qui « luttent » ou paraissent lutter contre la mort et les maladies - il faudra voir la </w:t>
      </w:r>
      <w:r>
        <w:rPr>
          <w:i/>
        </w:rPr>
        <w:t xml:space="preserve">Storia della medicina [Histoire de la médecine]</w:t>
      </w:r>
      <w:r>
        <w:rPr/>
        <w:t xml:space="preserve"> de Arturo CASTIGLIONI. Rappeler qu’il y a eu connexion entre religion et médecine, et qu’elle continue à exister dans certaines zones : hôpitaux entre les mains de religieux pour certaines fonctions d’organisation, sans compter le fait que là ou le médecin apparaît, le prêtre aussi se montre (exorcismes, assistance sous des formes variées, etc.). Nombreux furent les grands personnages religieux qui ont été aussi représentés comme de grands « thérapeutes » : l’idée du miracle, jusqu’à la résurrection des morts. Pour les rois également, dura longtemps la croyance qu’ils pouvaient guérir par l’imposition des mains, etc. </w:t>
      </w:r>
      <w:r>
        <w:rPr>
          <w:i/>
        </w:rPr>
        <w:t xml:space="preserve">(Note de Gramsci.)</w:t>
      </w:r>
      <w:r>
        <w:rPr/>
        <w:t xml:space="preserve">.</w:t>
      </w:r>
    </w:p>
  </w:footnote>
  <w:footnote w:id="4">
    <w:p>
      <w:pPr>
        <w:pStyle w:val="Notedebasdepage"/>
      </w:pPr>
      <w:r>
        <w:rPr>
          <w:rStyle w:val="Appelnotedebasdep"/>
        </w:rPr>
        <w:footnoteRef/>
        <w:t xml:space="preserve"> </w:t>
      </w:r>
      <w:r>
        <w:rPr/>
        <w:t xml:space="preserve">De là est venu le sens général d’ « intellectuel », ou de « spécialiste » qu’à pris le mot « clerc » dans de nombreuses langues d’origine néo-latine, ou fortement influencées, à travers le latin d’église, par les langues néo-latines, avec son corrélatif : « laïque » au sens de profane, denon-spécialiste. </w:t>
      </w:r>
      <w:r>
        <w:rPr>
          <w:i/>
        </w:rPr>
        <w:t xml:space="preserve">(Note de Gramsci.)</w:t>
      </w:r>
    </w:p>
  </w:footnote>
  <w:footnote w:id="5">
    <w:p>
      <w:pPr>
        <w:pStyle w:val="Notedebasdepage"/>
      </w:pPr>
      <w:r>
        <w:rPr>
          <w:rStyle w:val="Appelnotedebasdep"/>
        </w:rPr>
        <w:footnoteRef/>
        <w:t xml:space="preserve"> </w:t>
      </w:r>
      <w:r>
        <w:rPr/>
        <w:t xml:space="preserve">Agnelli et Benni furent tous deux sénateurs et grands représentants du capitalisme italien : Agnelli était l’un des principaux actionnaires de la Fiat, Benni de la Montecatini.</w:t>
      </w:r>
    </w:p>
  </w:footnote>
  <w:footnote w:id="6">
    <w:p>
      <w:pPr>
        <w:pStyle w:val="Notedebasdepage"/>
      </w:pPr>
      <w:r>
        <w:rPr>
          <w:rStyle w:val="Appelnotedebasdep"/>
        </w:rPr>
        <w:footnoteRef/>
        <w:t xml:space="preserve"> </w:t>
      </w:r>
      <w:r>
        <w:rPr/>
        <w:t xml:space="preserve">Croce a démenti qu’il ait jamais connu Agnelli et Benni. Il est évident qu’ici Gramsci fait allusion non à des liens physiques ou matériels, mais au fait que Croce aurait traduit, sur le terrain de la culture, les exigences économiques et politiques du grand capital italien, dans une phase déterminée de son développement.</w:t>
      </w:r>
    </w:p>
  </w:footnote>
  <w:footnote w:id="7">
    <w:p>
      <w:pPr>
        <w:pStyle w:val="Notedebasdepage"/>
      </w:pPr>
      <w:r>
        <w:rPr>
          <w:rStyle w:val="Appelnotedebasdep"/>
        </w:rPr>
        <w:footnoteRef/>
        <w:t xml:space="preserve"> </w:t>
      </w:r>
      <w:r>
        <w:rPr/>
        <w:t xml:space="preserve">De même il peut arriver à un certain moment à tout le monde de faire frire deux œufs ou de repriser un accroc à sa veste sans qu’on puisse dire pour autant que tout le monde est cuisinier ou tailleur. (</w:t>
      </w:r>
      <w:r>
        <w:rPr>
          <w:i/>
        </w:rPr>
        <w:t xml:space="preserve">Note de Gramsci</w:t>
      </w:r>
      <w:r>
        <w:rPr/>
        <w:t xml:space="preserve">.)</w:t>
      </w:r>
    </w:p>
  </w:footnote>
  <w:footnote w:id="8">
    <w:p>
      <w:pPr>
        <w:pStyle w:val="Notedebasdepage"/>
      </w:pPr>
      <w:r>
        <w:rPr>
          <w:rStyle w:val="Appelnotedebasdep"/>
        </w:rPr>
        <w:footnoteRef/>
        <w:t xml:space="preserve"> </w:t>
      </w:r>
      <w:r>
        <w:rPr/>
        <w:t xml:space="preserve">Expressions latines. Mot à mot : l’homme-artisan et l’homme-connaissant, pour désigner le travail manuel et l’activité intellectuelle.</w:t>
      </w:r>
    </w:p>
  </w:footnote>
  <w:footnote w:id="9">
    <w:p>
      <w:pPr>
        <w:pStyle w:val="Notedebasdepage"/>
      </w:pPr>
      <w:r>
        <w:rPr>
          <w:rStyle w:val="Appelnotedebasdep"/>
        </w:rPr>
        <w:footnoteRef/>
        <w:t xml:space="preserve"> </w:t>
      </w:r>
      <w:r>
        <w:rPr/>
        <w:t xml:space="preserve">Voir pp. 270-271, 469, 576.</w:t>
      </w:r>
    </w:p>
  </w:footnote>
  <w:footnote w:id="10">
    <w:p>
      <w:pPr>
        <w:pStyle w:val="Notedebasdepage"/>
      </w:pPr>
      <w:r>
        <w:rPr>
          <w:rStyle w:val="Appelnotedebasdep"/>
        </w:rPr>
        <w:footnoteRef/>
        <w:t xml:space="preserve"> </w:t>
      </w:r>
      <w:r>
        <w:rPr/>
        <w:t xml:space="preserve">Dans ce cas aussi l’organisation militaire offre un modèle de cette gradation complexe : officiers subalternes, officiers supérieurs, état-major, sans oublier les différents grades de la troupe, dont l’importance réelle est plus grande qu’on ne pense d’ordinaire. Il est intéressant de remarquer que tous ces éléments se sentent solidaires, et même que les couches inférieures montrent un esprit de corps plus visible, et en tirent un « orgueil » qui les expose souvent à l’ironie et à la moquerie. </w:t>
      </w:r>
      <w:r>
        <w:rPr>
          <w:i/>
        </w:rPr>
        <w:t xml:space="preserve">(Note de Gramsci</w:t>
      </w:r>
      <w:r>
        <w:rPr/>
        <w:t xml:space="preserve">.)</w:t>
      </w:r>
    </w:p>
  </w:footnote>
  <w:footnote w:id="11">
    <w:p>
      <w:pPr>
        <w:pStyle w:val="Notedebasdepage"/>
      </w:pPr>
      <w:r>
        <w:rPr>
          <w:rStyle w:val="Appelnotedebasdep"/>
        </w:rPr>
        <w:footnoteRef/>
        <w:t xml:space="preserve"> </w:t>
      </w:r>
      <w:r>
        <w:rPr/>
        <w:t xml:space="preserve">Cette conception de « travailleur improductif » est exposée notamment dans le </w:t>
      </w:r>
      <w:r>
        <w:rPr>
          <w:i/>
        </w:rPr>
        <w:t xml:space="preserve">Cours d’économie politique</w:t>
      </w:r>
      <w:r>
        <w:rPr/>
        <w:t xml:space="preserve"> de Loria, publié en 1909, et réédité plusieurs fois. Selon Loria, les « travailleurs improductifs » seraient « les poètes, les philosophes, les écrivains de tous genres, les médecins, les avocats, les professeurs, etc. » ; ils seraient en opposition avec les « propriétaires » (les capitalistes) parce que les propriétaires voudraient accroître leur nombre afin de moins payer leurs services, alors que leur intérêt voudrait le contraire. C'est une des nombreuses extravagances de Loria.</w:t>
      </w:r>
    </w:p>
  </w:footnote>
  <w:footnote w:id="12">
    <w:p>
      <w:pPr>
        <w:pStyle w:val="Notedebasdepage"/>
      </w:pPr>
      <w:r>
        <w:rPr>
          <w:rStyle w:val="Appelnotedebasdep"/>
        </w:rPr>
        <w:footnoteRef/>
        <w:t xml:space="preserve"> </w:t>
      </w:r>
      <w:r>
        <w:rPr/>
        <w:t xml:space="preserve">Sturm und Drang (Tumulte et assaut) : Mouvement littéraire qui, dans l’Allemagne du XVIII° siècle, précéda le romantisme</w:t>
      </w:r>
    </w:p>
  </w:footnote>
  <w:footnote w:id="13">
    <w:p>
      <w:pPr>
        <w:pStyle w:val="Notedebasdepage"/>
      </w:pPr>
      <w:r>
        <w:rPr>
          <w:rStyle w:val="Appelnotedebasdep"/>
        </w:rPr>
        <w:footnoteRef/>
        <w:t xml:space="preserve"> </w:t>
      </w:r>
      <w:r>
        <w:rPr/>
        <w:t xml:space="preserve">Ce schéma d’organisation du travail culturel selon les principes généraux de l’école unitaire, devrait être développé dans </w:t>
      </w:r>
      <w:r>
        <w:rPr>
          <w:i/>
        </w:rPr>
        <w:t xml:space="preserve">toutes</w:t>
      </w:r>
      <w:r>
        <w:rPr/>
        <w:t xml:space="preserve"> ses parties avec soin et servir de guide pour constituer tout centre de culture même le plus élémentaire et le plus primitif ; il devrait être conçu comme un embryon et une molécule de tout l’ensemble de la structure. Même les initiatives que l’on sait transitoires et expérimentales devraient être conçues comme capables d’être absorbées dans le schéma général et en même temps comme éléments vitaux qui tendent à créer tout le schéma. Etudier avec attention l’organisation et le développement du Rotary-Club. </w:t>
      </w:r>
      <w:r>
        <w:rPr>
          <w:i/>
        </w:rPr>
        <w:t xml:space="preserve">(Note de Gramsci.)</w:t>
      </w:r>
    </w:p>
  </w:footnote>
  <w:footnote w:id="14">
    <w:p>
      <w:pPr>
        <w:pStyle w:val="Notedebasdepage"/>
      </w:pPr>
      <w:r>
        <w:rPr>
          <w:rStyle w:val="Appelnotedebasdep"/>
        </w:rPr>
        <w:footnoteRef/>
        <w:t xml:space="preserve"> </w:t>
      </w:r>
      <w:r>
        <w:rPr/>
        <w:t xml:space="preserve">Cf - p. 308.]</w:t>
      </w:r>
    </w:p>
  </w:footnote>
  <w:footnote w:id="15">
    <w:p>
      <w:pPr>
        <w:pStyle w:val="Notedebasdepage"/>
      </w:pPr>
      <w:r>
        <w:rPr>
          <w:rStyle w:val="Appelnotedebasdep"/>
        </w:rPr>
        <w:footnoteRef/>
        <w:t xml:space="preserve"> </w:t>
      </w:r>
      <w:r>
        <w:rPr>
          <w:i/>
        </w:rPr>
        <w:t xml:space="preserve">Societas rerum</w:t>
      </w:r>
      <w:r>
        <w:rPr/>
        <w:t xml:space="preserve"> (La société des choses) : c’est-à-dire la nature, par opposition, à la société humaine.</w:t>
      </w:r>
    </w:p>
  </w:footnote>
  <w:footnote w:id="16">
    <w:p>
      <w:pPr>
        <w:pStyle w:val="Notedebasdepage"/>
      </w:pPr>
      <w:r>
        <w:rPr>
          <w:rStyle w:val="Appelnotedebasdep"/>
        </w:rPr>
        <w:footnoteRef/>
        <w:t xml:space="preserve"> </w:t>
      </w:r>
      <w:r>
        <w:rPr/>
        <w:t xml:space="preserve">On peut être certain d’une chose sans qu’elle soit vraie pour cela. Inversement une chose peut être vraie à notre insu. On peut même reconnaître sa vérité extérieurement, du bout des lèvres, sans en être « certain », intimement persuadé. Cette distinction entre la certitude (subjective) et la vérité (objective) joue un grand rôle dans la philosophie de Hegel.</w:t>
      </w:r>
    </w:p>
  </w:footnote>
  <w:footnote w:id="17">
    <w:p>
      <w:pPr>
        <w:pStyle w:val="Notedebasdepage"/>
      </w:pPr>
      <w:r>
        <w:rPr>
          <w:rStyle w:val="Appelnotedebasdep"/>
        </w:rPr>
        <w:footnoteRef/>
        <w:t xml:space="preserve"> </w:t>
      </w:r>
      <w:r>
        <w:rPr/>
        <w:t xml:space="preserve">Gymnase : Nom donné en Italie à des établissements scolaires comportant les premières classes du second degré. Quelque chose comme nos C.E.S.</w:t>
      </w:r>
    </w:p>
  </w:footnote>
  <w:footnote w:id="18">
    <w:p>
      <w:pPr>
        <w:pStyle w:val="Notedebasdepage"/>
      </w:pPr>
      <w:r>
        <w:rPr>
          <w:rStyle w:val="Appelnotedebasdep"/>
        </w:rPr>
        <w:footnoteRef/>
        <w:t xml:space="preserve"> </w:t>
      </w:r>
      <w:r>
        <w:rPr/>
        <w:t xml:space="preserve">Allusion au système du mandarinat dans l’ancienne Chine.</w:t>
      </w:r>
    </w:p>
  </w:footnote>
  <w:footnote w:id="19">
    <w:p>
      <w:pPr>
        <w:pStyle w:val="Notedebasdepage"/>
      </w:pPr>
      <w:r>
        <w:rPr>
          <w:rStyle w:val="Appelnotedebasdep"/>
        </w:rPr>
        <w:footnoteRef/>
        <w:t xml:space="preserve"> </w:t>
      </w:r>
      <w:r>
        <w:rPr/>
        <w:t xml:space="preserve">Ces termes bizarres (dont Molière s’est moqué, dans </w:t>
      </w:r>
      <w:r>
        <w:rPr>
          <w:i/>
        </w:rPr>
        <w:t xml:space="preserve">le Bourgeois Gentilhomme</w:t>
      </w:r>
      <w:r>
        <w:rPr/>
        <w:t xml:space="preserve">) n’ont aucune signification par eux-mêmes. Dans l’ancienne logique formelle, les lettres qui les composent correspondaient à une sorte de code permettant de repérer les différents types de raisonnement.</w:t>
      </w:r>
    </w:p>
  </w:footnote>
  <w:footnote w:id="20">
    <w:p>
      <w:pPr>
        <w:pStyle w:val="Notedebasdepage"/>
      </w:pPr>
      <w:r>
        <w:rPr>
          <w:rStyle w:val="Appelnotedebasdep"/>
        </w:rPr>
        <w:footnoteRef/>
        <w:t xml:space="preserve"> </w:t>
      </w:r>
      <w:r>
        <w:rPr/>
        <w:t xml:space="preserve">Voir : Lettre à Julia du 30 décembre 1930 ; lettre à Tania du 7 mars 1932 ; lettre à Julia du 14 novembre 1931 pour le concept d’ « inclinaison infantile » (Gallimard 1971, pp. 373-374).</w:t>
      </w:r>
    </w:p>
  </w:footnote>
  <w:footnote w:id="21">
    <w:p>
      <w:pPr>
        <w:pStyle w:val="Notedebasdepage"/>
      </w:pPr>
      <w:r>
        <w:rPr>
          <w:rStyle w:val="Appelnotedebasdep"/>
        </w:rPr>
        <w:footnoteRef/>
        <w:t xml:space="preserve"> </w:t>
      </w:r>
      <w:r>
        <w:rPr/>
        <w:t xml:space="preserve">Croce, en accord avec Labriola, commente : « Le problème est là tout entier : non pas récuser le concept de culture, mais le définir exactement et trouver un mode approprié et concret de diffusion de la culture. Et ce mode peut être quelquefois le </w:t>
      </w:r>
      <w:r>
        <w:rPr>
          <w:i/>
        </w:rPr>
        <w:t xml:space="preserve">Odi profanum vulgus</w:t>
      </w:r>
      <w:r>
        <w:rPr/>
        <w:t xml:space="preserve"> (Je hais le vulgaire profane), et consister à repousser violemment les gens du seuil du temple de la science en les contraignant à rester dehors aussi longtemps qu’ils ne s’en rendent pas dignes. » (Conversations </w:t>
      </w:r>
      <w:r>
        <w:rPr>
          <w:i/>
        </w:rPr>
        <w:t xml:space="preserve">critiques</w:t>
      </w:r>
      <w:r>
        <w:rPr/>
        <w:t xml:space="preserve">, série 11, Bari, Laterza, 1950, p. 61)</w:t>
      </w:r>
    </w:p>
  </w:footnote>
  <w:footnote w:id="22">
    <w:p>
      <w:pPr>
        <w:pStyle w:val="Notedebasdepage"/>
      </w:pPr>
      <w:r>
        <w:rPr>
          <w:rStyle w:val="Appelnotedebasdep"/>
        </w:rPr>
        <w:footnoteRef/>
        <w:t xml:space="preserve"> </w:t>
      </w:r>
      <w:r>
        <w:rPr/>
        <w:t xml:space="preserve">Le </w:t>
      </w:r>
      <w:r>
        <w:rPr>
          <w:i/>
        </w:rPr>
        <w:t xml:space="preserve">Giornale d’Italia</w:t>
      </w:r>
      <w:r>
        <w:rPr/>
        <w:t xml:space="preserve"> avait demandé à Labriola « ce qu’il pensait, en tant que socialiste, d’une action de l’Italie à Tripoli, du point de vue de l’opportunité nationale et des intérêts du prolétariat ». Les journaux socialistes officiels avaient en effet, comme le rappelle le chapeau de la rédaction de l’interview, « repris leur vieille opposition à la politique d’expansion ». Labriola se dit favorable à l’entreprise et donna, dans la première partie de sa réponse, une justification « historiciste » générale de sa position. Voici le passage : « Les intérêts des socialistes ne peuvent pas être opposés aux intérêts nationaux, et ils doivent même les encourager sous toutes les formes. Les Etats d’Europe - je reprends ici des idées et des formules que j’ai exprimées d’autres fois - sont en devenir continuel et complexe, en ce qu’ils ambitionnent, conquièrent, assujettissent et exploitent dans tout le reste du monde. L'Italie ne peut pas se soustraire à ce développement des Etats qui porte avec lui un développement des peuples. Si elle le faisait, elle se soustrairait en réalité à la circulation de la vie moderne et resterait </w:t>
      </w:r>
      <w:r>
        <w:rPr>
          <w:i/>
        </w:rPr>
        <w:t xml:space="preserve">arriérée</w:t>
      </w:r>
      <w:r>
        <w:rPr/>
        <w:t xml:space="preserve"> en Europe. Le mouvement expansionniste des nations a ses raisons profondes dans la concurrence économique. « L'économie et la politique ne sont pas séparables à volonté et artificiellement. La lutte entre les Etats pour ce que l’on appelle la sphère d’influences et le rayon d’action, naît de la structure intime des Etats eux-mêmes et elle est le plus souvent la condition de leur progrès et le moyen de se donner consistance. Il n’est pas possible, dans les conditions actuelles effectives des Etats, que la concurrence cède le pas à une justice désincarnée et sans moyens de contrainte : je dis cela à ceux qui s’imaginent que l’on peut constituer </w:t>
      </w:r>
      <w:r>
        <w:rPr>
          <w:i/>
        </w:rPr>
        <w:t xml:space="preserve">l’arbitre international</w:t>
      </w:r>
      <w:r>
        <w:rPr/>
        <w:t xml:space="preserve"> pour concilier les querelles entre les nations et les forces automatiques et élémentaires de l’histoire ; je dis cela aujourd’hui à ceux qui, par aversion pour certaines formes de contrainte que les Etats sont obligés d’utiliser, préfèrent renoncer au relatif progrès qui naît de ce que l’on prend une part active à la concurrence impétueuse propre à notre temps. » (« Tripoli, le socialisme et l’expansion coloniale », tirée d’une interview au </w:t>
      </w:r>
      <w:r>
        <w:rPr>
          <w:i/>
        </w:rPr>
        <w:t xml:space="preserve">Giornale d’Italia</w:t>
      </w:r>
      <w:r>
        <w:rPr/>
        <w:t xml:space="preserve"> du 13 avril 1902, publiée dans </w:t>
      </w:r>
      <w:r>
        <w:rPr>
          <w:i/>
        </w:rPr>
        <w:t xml:space="preserve">Ecrits variés édités et inédits de philosophie politique</w:t>
      </w:r>
      <w:r>
        <w:rPr/>
        <w:t xml:space="preserve"> rassemblés et publiés par B. Croce, Bari, Laterza, 1906, pp. 433-434). - Labriola ajoutait ensuite que l’Italie, arrivée tardivement en Afrique pour y prendre « une position prédominante », aurait dû se contenter de la Tripolitaine qu’il fallait donc occuper avant que les autres ne le fassent, comme cela s’était produit pour l’Egypte et la Tunisie. Il considérait la question de Tripoli « comme le premier essai de notre première apparition libre dans la politique mondiale » et comme un choix politique qui, s’il était bien poursuivi, pouvait permettre de surmonter les maux chroniques du pays, l’assujettissement au capital étranger et l’émigration, en ouvrant la possibilité d’ « une politique de la population » et d’une politique économique capables de « faire de la masse de nos émigrants, des Italiens à même de peupler une nouvelle patrie ».</w:t>
      </w:r>
    </w:p>
  </w:footnote>
  <w:footnote w:id="23">
    <w:p>
      <w:pPr>
        <w:pStyle w:val="Notedebasdepage"/>
      </w:pPr>
      <w:r>
        <w:rPr>
          <w:rStyle w:val="Appelnotedebasdep"/>
        </w:rPr>
        <w:footnoteRef/>
        <w:t xml:space="preserve"> </w:t>
      </w:r>
      <w:r>
        <w:rPr/>
        <w:t xml:space="preserve">Hegel avait affirmé que la servitude était le berceau de la liberté. Pour Hegel comme pour Machiavel, la « nouvelle souveraineté » (c’est-à-dire la période dictatoriale qui caractérise le début de chaque nouveau type d’Etat) et la servitude qui s’y rattache, ne se justifient que comme éducation et discipline de l’homme qui n’est pas encore libre. Aussi B. Spaventa (</w:t>
      </w:r>
      <w:r>
        <w:rPr>
          <w:i/>
        </w:rPr>
        <w:t xml:space="preserve">Principes d’Ethique</w:t>
      </w:r>
      <w:r>
        <w:rPr/>
        <w:t xml:space="preserve">, Appendice, Naples, 1904) commente opportunément : « Mais le berceau n’est pas la vie. Quelques-uns nous voudraient constamment au berceau. » Un exemple typique de ce berceau que devient toute la vie est donné par le protectionnisme douanier, qui est toujours préconisé et justifié à titre de « berceau » mais tend à devenir un berceau éternel. </w:t>
      </w:r>
      <w:r>
        <w:rPr>
          <w:i/>
        </w:rPr>
        <w:t xml:space="preserve">(Note de Gramsci.)</w:t>
      </w:r>
    </w:p>
  </w:footnote>
  <w:footnote w:id="24">
    <w:p>
      <w:pPr>
        <w:pStyle w:val="Notedebasdepage"/>
      </w:pPr>
      <w:r>
        <w:rPr>
          <w:rStyle w:val="Appelnotedebasdep"/>
        </w:rPr>
        <w:footnoteRef/>
        <w:t xml:space="preserve"> </w:t>
      </w:r>
      <w:r>
        <w:rPr/>
        <w:t xml:space="preserve">Croce </w:t>
      </w:r>
      <w:r>
        <w:rPr>
          <w:i/>
        </w:rPr>
        <w:t xml:space="preserve">: Cultura e vita morale</w:t>
      </w:r>
      <w:r>
        <w:rPr/>
        <w:t xml:space="preserve">, pp. 169-170, chap. : « Fede e programmi » (« La foi et les programmes. » ) de 1911. (</w:t>
      </w:r>
      <w:r>
        <w:rPr>
          <w:i/>
        </w:rPr>
        <w:t xml:space="preserve">Note de Gramsci.</w:t>
      </w:r>
      <w:r>
        <w:rPr/>
        <w:t xml:space="preserve">)</w:t>
      </w:r>
    </w:p>
  </w:footnote>
  <w:footnote w:id="25">
    <w:p>
      <w:pPr>
        <w:pStyle w:val="Notedebasdepage"/>
      </w:pPr>
      <w:r>
        <w:rPr>
          <w:rStyle w:val="Appelnotedebasdep"/>
        </w:rPr>
        <w:footnoteRef/>
        <w:t xml:space="preserve"> </w:t>
      </w:r>
      <w:r>
        <w:rPr>
          <w:i/>
        </w:rPr>
        <w:t xml:space="preserve">Servum pecus</w:t>
      </w:r>
      <w:r>
        <w:rPr/>
        <w:t xml:space="preserve"> : expression latine du poète Horace pour désigner les imitateurs en littérature (mot à mot : le troupeau des esclaves). </w:t>
      </w:r>
      <w:r>
        <w:rPr>
          <w:i/>
        </w:rPr>
        <w:t xml:space="preserve">Epigones</w:t>
      </w:r>
      <w:r>
        <w:rPr/>
        <w:t xml:space="preserve"> : dans la mythologie grecque, les épigones étaient les fils des sept chefs qui périrent en assiégeant Thèbes. Par extension le mot désigne les successeurs, les descendants (dans un sens quelque peu ironique)</w:t>
      </w:r>
    </w:p>
  </w:footnote>
  <w:footnote w:id="26">
    <w:p>
      <w:pPr>
        <w:pStyle w:val="Notedebasdepage"/>
      </w:pPr>
      <w:r>
        <w:rPr>
          <w:rStyle w:val="Appelnotedebasdep"/>
        </w:rPr>
        <w:footnoteRef/>
        <w:t xml:space="preserve"> </w:t>
      </w:r>
      <w:r>
        <w:rPr>
          <w:i/>
        </w:rPr>
        <w:t xml:space="preserve">Parthénogénèse : mode</w:t>
      </w:r>
      <w:r>
        <w:rPr/>
        <w:t xml:space="preserve"> de reproduction de certains animaux par des oeufs non fécondés (des mots grecs : </w:t>
      </w:r>
      <w:r>
        <w:rPr>
          <w:i/>
        </w:rPr>
        <w:t xml:space="preserve">Parthenos</w:t>
      </w:r>
      <w:r>
        <w:rPr/>
        <w:t xml:space="preserve">, vierge, et </w:t>
      </w:r>
      <w:r>
        <w:rPr>
          <w:i/>
        </w:rPr>
        <w:t xml:space="preserve">Genesis</w:t>
      </w:r>
      <w:r>
        <w:rPr/>
        <w:t xml:space="preserve">, engendrement).</w:t>
      </w:r>
    </w:p>
  </w:footnote>
  <w:footnote w:id="27">
    <w:p>
      <w:pPr>
        <w:pStyle w:val="Notedebasdepage"/>
      </w:pPr>
      <w:r>
        <w:rPr>
          <w:rStyle w:val="Appelnotedebasdep"/>
        </w:rPr>
        <w:footnoteRef/>
        <w:t xml:space="preserve"> </w:t>
      </w:r>
      <w:r>
        <w:rPr/>
        <w:t xml:space="preserve">CROCE </w:t>
      </w:r>
      <w:r>
        <w:rPr>
          <w:i/>
        </w:rPr>
        <w:t xml:space="preserve">: Cultura e vita morale</w:t>
      </w:r>
      <w:r>
        <w:rPr/>
        <w:t xml:space="preserve">, pp. 241-242, chap. - « Troppa filosofia » (« Trop de philosophie ».) de 1922. (</w:t>
      </w:r>
      <w:r>
        <w:rPr>
          <w:i/>
        </w:rPr>
        <w:t xml:space="preserve">Note de Gramsci</w:t>
      </w:r>
      <w:r>
        <w:rPr/>
        <w:t xml:space="preserve">.)</w:t>
      </w:r>
    </w:p>
  </w:footnote>
  <w:footnote w:id="28">
    <w:p>
      <w:pPr>
        <w:pStyle w:val="Notedebasdepage"/>
      </w:pPr>
      <w:r>
        <w:rPr>
          <w:rStyle w:val="Appelnotedebasdep"/>
        </w:rPr>
        <w:footnoteRef/>
        <w:t xml:space="preserve"> </w:t>
      </w:r>
      <w:r>
        <w:rPr/>
        <w:t xml:space="preserve">Le groupe de </w:t>
      </w:r>
      <w:r>
        <w:rPr>
          <w:i/>
        </w:rPr>
        <w:t xml:space="preserve">Monde</w:t>
      </w:r>
      <w:r>
        <w:rPr/>
        <w:t xml:space="preserve"> : il s’agit de la revue fondée en 1928 par Henri Barbusse qui joua un grand rôle dans la création d’un front de lutte anti-fasciste des travailleurs et des intellectuels.],</w:t>
      </w:r>
    </w:p>
  </w:footnote>
  <w:footnote w:id="29">
    <w:p>
      <w:pPr>
        <w:pStyle w:val="Notedebasdepage"/>
      </w:pPr>
      <w:r>
        <w:rPr>
          <w:rStyle w:val="Appelnotedebasdep"/>
        </w:rPr>
        <w:footnoteRef/>
        <w:t xml:space="preserve"> </w:t>
      </w:r>
      <w:r>
        <w:rPr/>
        <w:t xml:space="preserve">C'est-à-dire beaucoup sont encore partisans de la vieille représentation du monde selon le géographe grec Ptolémée, pour qui la terre était le centre de l’univers, et non de la conception scientifique moderne, née avec Copernic, qui affirma le premier que la terre n’était qu’une planète tournant autour du soleil.</w:t>
      </w:r>
    </w:p>
  </w:footnote>
  <w:footnote w:id="30">
    <w:p>
      <w:pPr>
        <w:pStyle w:val="Notedebasdepage"/>
      </w:pPr>
      <w:r>
        <w:rPr>
          <w:rStyle w:val="Appelnotedebasdep"/>
        </w:rPr>
        <w:footnoteRef/>
        <w:t xml:space="preserve"> </w:t>
      </w:r>
      <w:r>
        <w:rPr>
          <w:i/>
        </w:rPr>
        <w:t xml:space="preserve">I Promessi Sposi</w:t>
      </w:r>
      <w:r>
        <w:rPr/>
        <w:t xml:space="preserve"> (</w:t>
      </w:r>
      <w:r>
        <w:rPr>
          <w:i/>
        </w:rPr>
        <w:t xml:space="preserve">LesFiancés</w:t>
      </w:r>
      <w:r>
        <w:rPr/>
        <w:t xml:space="preserve">) : le célèbre roman historique d’AlexandreMANZONI.</w:t>
      </w:r>
    </w:p>
  </w:footnote>
  <w:footnote w:id="31">
    <w:p>
      <w:pPr>
        <w:pStyle w:val="Notedebasdepage"/>
      </w:pPr>
      <w:r>
        <w:rPr>
          <w:rStyle w:val="Appelnotedebasdep"/>
        </w:rPr>
        <w:footnoteRef/>
        <w:t xml:space="preserve"> </w:t>
      </w:r>
      <w:r>
        <w:rPr>
          <w:i/>
        </w:rPr>
        <w:t xml:space="preserve">I Sepolcri</w:t>
      </w:r>
      <w:r>
        <w:rPr/>
        <w:t xml:space="preserve"> (</w:t>
      </w:r>
      <w:r>
        <w:rPr>
          <w:i/>
        </w:rPr>
        <w:t xml:space="preserve">Les Tombeaux</w:t>
      </w:r>
      <w:r>
        <w:rPr/>
        <w:t xml:space="preserve">) : oeuvre du poète romantique italien Ugo FOSCOLO, écrite en 1807. Ce poème sur le thème de l’immortalité de la pensée humaine est l’une des plus grandes œuvres lyriques de la poésie italienne</w:t>
      </w:r>
    </w:p>
  </w:footnote>
  <w:footnote w:id="32">
    <w:p>
      <w:pPr>
        <w:pStyle w:val="Notedebasdepage"/>
      </w:pPr>
      <w:r>
        <w:rPr>
          <w:rStyle w:val="Appelnotedebasdep"/>
        </w:rPr>
        <w:footnoteRef/>
        <w:t xml:space="preserve"> </w:t>
      </w:r>
      <w:r>
        <w:rPr/>
        <w:t xml:space="preserve">« Poésie » et « non poésie » : formule de Croce (c’est aussi le titre d’un de ses livres), qui distingue dans une œuvre littéraire ce qui appartient à l’art (poésie) et ce qui lui est étranger (non-poésie).</w:t>
      </w:r>
    </w:p>
  </w:footnote>
  <w:footnote w:id="33">
    <w:p>
      <w:pPr>
        <w:pStyle w:val="Notedebasdepage"/>
      </w:pPr>
      <w:r>
        <w:rPr>
          <w:rStyle w:val="Appelnotedebasdep"/>
        </w:rPr>
        <w:footnoteRef/>
        <w:t xml:space="preserve"> </w:t>
      </w:r>
      <w:r>
        <w:rPr>
          <w:i/>
        </w:rPr>
        <w:t xml:space="preserve">Masaniello, Michele de Lando, Cola di Rienzo</w:t>
      </w:r>
      <w:r>
        <w:rPr/>
        <w:t xml:space="preserve"> : héros populaires de l’histoire italienne. Tommaso Aniello, dit Masaniello (1623-1647) fut un pêcheur napolitain qui dirigea l’insurrection du peuple de Naples contre le vice-roi espagnol en 1647. Il fut assassiné peu après. Michele de Lando fut le chef de l’insurrection des ouvriers cardeurs de Florence ; nommé gonfalonier en 1378, il gouverna la ville jusqu’à 1381, puis fut exilé. Cola di Rienzo (1313-1354), homme du peuple qui fut nommé tribun du peuple à Rome en 1347 ; il voulait fonder une république des Etats italiens qui rendrait à Rome sa grandeur passée ; mais, devenu impopulaire par son attitude dictatoriale, il fut assassiné au cours d’une émeute.</w:t>
      </w:r>
    </w:p>
  </w:footnote>
  <w:footnote w:id="34">
    <w:p>
      <w:pPr>
        <w:pStyle w:val="Notedebasdepage"/>
      </w:pPr>
      <w:r>
        <w:rPr>
          <w:rStyle w:val="Appelnotedebasdep"/>
        </w:rPr>
        <w:footnoteRef/>
        <w:t xml:space="preserve"> </w:t>
      </w:r>
      <w:r>
        <w:rPr/>
        <w:t xml:space="preserve">« La Religieuse de Monza » : long épisode du célèbre roman d’Alexandre MANZONI</w:t>
      </w:r>
      <w:r>
        <w:rPr>
          <w:i/>
        </w:rPr>
        <w:t xml:space="preserve"> : Les Fiançés</w:t>
      </w:r>
      <w:r>
        <w:rPr/>
        <w:t xml:space="preserve">, qui constitue comme un roman dans le roman lui-même. C'est l’histoire tragique de la supérieure du couvent de Monza, Gertrude, que ses parents avaient fait entrer contre son gré dans les ordres pour conserver à leur fils aîné le patrimoine de la famille. Gertrude, cloîtrée sans vocation et désespérée, se laissa aller à une liaison amoureuse qui l’entraîna jusqu’au crime.</w:t>
      </w:r>
    </w:p>
  </w:footnote>
  <w:footnote w:id="35">
    <w:p>
      <w:pPr>
        <w:pStyle w:val="Notedebasdepage"/>
      </w:pPr>
      <w:r>
        <w:rPr>
          <w:rStyle w:val="Appelnotedebasdep"/>
        </w:rPr>
        <w:footnoteRef/>
        <w:t xml:space="preserve"> </w:t>
      </w:r>
      <w:r>
        <w:rPr/>
        <w:t xml:space="preserve">L'un des principaux personnages du roman-feuilleton d’Eugène Sue </w:t>
      </w:r>
      <w:r>
        <w:rPr>
          <w:i/>
        </w:rPr>
        <w:t xml:space="preserve">: Les Mystères de Paris.</w:t>
      </w:r>
    </w:p>
  </w:footnote>
  <w:footnote w:id="36">
    <w:p>
      <w:pPr>
        <w:pStyle w:val="Notedebasdepage"/>
      </w:pPr>
      <w:r>
        <w:rPr>
          <w:rStyle w:val="Appelnotedebasdep"/>
        </w:rPr>
        <w:footnoteRef/>
        <w:t xml:space="preserve"> </w:t>
      </w:r>
      <w:r>
        <w:rPr>
          <w:i/>
        </w:rPr>
        <w:t xml:space="preserve">Les Brigands</w:t>
      </w:r>
      <w:r>
        <w:rPr/>
        <w:t xml:space="preserve"> (1782) : drame du poète romantique allemand Schiller, œuvre pessimiste et satire de la société.</w:t>
      </w:r>
    </w:p>
  </w:footnote>
  <w:footnote w:id="37">
    <w:p>
      <w:pPr>
        <w:pStyle w:val="Notedebasdepage"/>
      </w:pPr>
      <w:r>
        <w:rPr>
          <w:rStyle w:val="Appelnotedebasdep"/>
        </w:rPr>
        <w:footnoteRef/>
        <w:t xml:space="preserve"> </w:t>
      </w:r>
      <w:r>
        <w:rPr>
          <w:i/>
        </w:rPr>
        <w:t xml:space="preserve">Le père Brown</w:t>
      </w:r>
      <w:r>
        <w:rPr/>
        <w:t xml:space="preserve"> : prêtre-détective, personnage de plusieurs romans policiers de l’écrivain anglais Chesterton, dont le modèle lui fut fourni par le Père O'Connor.</w:t>
      </w:r>
    </w:p>
  </w:footnote>
  <w:footnote w:id="38">
    <w:p>
      <w:pPr>
        <w:pStyle w:val="Notedebasdepage"/>
      </w:pPr>
      <w:r>
        <w:rPr>
          <w:rStyle w:val="Appelnotedebasdep"/>
        </w:rPr>
        <w:footnoteRef/>
        <w:t xml:space="preserve"> </w:t>
      </w:r>
      <w:r>
        <w:rPr>
          <w:i/>
        </w:rPr>
        <w:t xml:space="preserve">La Mort civile</w:t>
      </w:r>
      <w:r>
        <w:rPr/>
        <w:t xml:space="preserve"> : drame de Paolo Giacometti représenté pour la première fois en 1861, et considéré comme le chef-d’œuvre de cet auteur. Giacometti déclare avoir voulu poser le problème du caractère indissoluble du mariage dans le cas de la « mort civile » d’un des époux. Pièce pathétique, pleine de déclamation et de sentimentalité, mais qui portait sur la scène un des problèmes de la vie publique de la nouvelle société italienne née avec l’unité du pays.</w:t>
      </w:r>
    </w:p>
    <w:p>
      <w:pPr>
        <w:pStyle w:val="Notedebasdepage"/>
      </w:pPr>
      <w:r>
        <w:rPr>
          <w:i/>
        </w:rPr>
        <w:t xml:space="preserve">Les Deux Orphelines</w:t>
      </w:r>
      <w:r>
        <w:rPr/>
        <w:t xml:space="preserve"> : mélodrame en 5 actes et 8 tableaux d’Ennery et Cormon (1874), qui connut un gros succès populaire dans plusieurs pays. Située sous Louis XV, c’est l’histoire émouvante de deux orphelines qui, après des péripéties dramatiques, sont enfin réunies et trouvent le bonheur.</w:t>
      </w:r>
    </w:p>
    <w:p>
      <w:pPr>
        <w:pStyle w:val="Notedebasdepage"/>
      </w:pPr>
      <w:r>
        <w:rPr>
          <w:i/>
        </w:rPr>
        <w:t xml:space="preserve">Les Crochets du Père Martin</w:t>
      </w:r>
      <w:r>
        <w:rPr/>
        <w:t xml:space="preserve"> : comédie d’Eugène Cormon et Eugène Grange (1858), pièce aux caractères superficiels, mais qui connut un grand succès populaire à cause de la moralité de l’intrigue.</w:t>
      </w:r>
    </w:p>
  </w:footnote>
  <w:footnote w:id="39">
    <w:p>
      <w:pPr>
        <w:pStyle w:val="Notedebasdepage"/>
      </w:pPr>
      <w:r>
        <w:rPr>
          <w:rStyle w:val="Appelnotedebasdep"/>
        </w:rPr>
        <w:footnoteRef/>
        <w:t xml:space="preserve"> </w:t>
      </w:r>
      <w:r>
        <w:rPr>
          <w:i/>
        </w:rPr>
        <w:t xml:space="preserve">Orlando furioso (Roland furieux)</w:t>
      </w:r>
      <w:r>
        <w:rPr/>
        <w:t xml:space="preserve"> : poème chevaleresque d’aventures merveilleuses, écrit par l’Arioste. L'une des grandes œuvres de la littérature italienne.</w:t>
      </w:r>
    </w:p>
  </w:footnote>
  <w:footnote w:id="40">
    <w:p>
      <w:pPr>
        <w:pStyle w:val="Notedebasdepage"/>
      </w:pPr>
      <w:r>
        <w:rPr>
          <w:rStyle w:val="Appelnotedebasdep"/>
        </w:rPr>
        <w:footnoteRef/>
        <w:t xml:space="preserve"> </w:t>
      </w:r>
      <w:r>
        <w:rPr/>
        <w:t xml:space="preserve">Dans une autre note </w:t>
      </w:r>
      <w:r>
        <w:rPr>
          <w:i/>
        </w:rPr>
        <w:t xml:space="preserve">(Note sul Machiavelli</w:t>
      </w:r>
      <w:r>
        <w:rPr/>
        <w:t xml:space="preserve">, Einaudi, p. 288) Gramsci cite le passage de </w:t>
      </w:r>
      <w:r>
        <w:rPr>
          <w:i/>
        </w:rPr>
        <w:t xml:space="preserve">La Rabouilleuse</w:t>
      </w:r>
      <w:r>
        <w:rPr/>
        <w:t xml:space="preserve"> où Balzac parle de la loterie comme de « l’opium de la misère », et poursuit : « Ce passage de Balzac pourrait aussi être rattaché à l’expression « opium du peuple » employée dans l’introduction à la </w:t>
      </w:r>
      <w:r>
        <w:rPr>
          <w:i/>
        </w:rPr>
        <w:t xml:space="preserve">Contribution à la critique de la Philosophie du Droit de Hegel</w:t>
      </w:r>
      <w:r>
        <w:rPr/>
        <w:t xml:space="preserve">, publiée en 1844, dont l’auteur (Karl Marx) fut un grand admirateur de Balzac. » Gramsci ajoute que le passage de l’expression « opium de la misère » employée par Balzac pour la loterie, à l’expression « opium du peuple » employée pour la religion, a été probablement influencé par la réflexion sur le « pari » de Pascal.</w:t>
      </w:r>
    </w:p>
  </w:footnote>
  <w:footnote w:id="41">
    <w:p>
      <w:pPr>
        <w:pStyle w:val="Notedebasdepage"/>
      </w:pPr>
      <w:r>
        <w:rPr>
          <w:rStyle w:val="Appelnotedebasdep"/>
        </w:rPr>
        <w:footnoteRef/>
        <w:t xml:space="preserve"> </w:t>
      </w:r>
      <w:r>
        <w:rPr/>
        <w:t xml:space="preserve">L'étude de Vladimir Pozner sur « Dostoïevski et le roman d’aventures », écrit pour le numéro spécial de </w:t>
      </w:r>
      <w:r>
        <w:rPr>
          <w:i/>
        </w:rPr>
        <w:t xml:space="preserve">Cultura</w:t>
      </w:r>
      <w:r>
        <w:rPr/>
        <w:t xml:space="preserve"> a été repris en France par la revue </w:t>
      </w:r>
      <w:r>
        <w:rPr>
          <w:i/>
        </w:rPr>
        <w:t xml:space="preserve">Europe</w:t>
      </w:r>
      <w:r>
        <w:rPr/>
        <w:t xml:space="preserve"> (sept.-oct. 1931). Vladimir Pozner nous a précisé que, contrairement à ce que pense Gramsci, il n’avait jamais eu connaissance de cet essai de Jacques Rivière.</w:t>
      </w:r>
    </w:p>
  </w:footnote>
  <w:footnote w:id="42">
    <w:p>
      <w:pPr>
        <w:pStyle w:val="Notedebasdepage"/>
      </w:pPr>
      <w:r>
        <w:rPr>
          <w:rStyle w:val="Appelnotedebasdep"/>
        </w:rPr>
        <w:footnoteRef/>
        <w:t xml:space="preserve"> </w:t>
      </w:r>
      <w:r>
        <w:rPr/>
        <w:t xml:space="preserve">Il s’agit en effet de l’article d’André LeBreton : « Victor Hugo académicien », paru dans </w:t>
      </w:r>
      <w:r>
        <w:rPr>
          <w:i/>
        </w:rPr>
        <w:t xml:space="preserve">la Revue des Deux-Mondes</w:t>
      </w:r>
      <w:r>
        <w:rPr/>
        <w:t xml:space="preserve"> du 15 février 1929. (</w:t>
      </w:r>
      <w:r>
        <w:rPr>
          <w:i/>
        </w:rPr>
        <w:t xml:space="preserve">Note de Gramsci</w:t>
      </w:r>
      <w:r>
        <w:rPr/>
        <w:t xml:space="preserve">.) [1930]</w:t>
      </w:r>
    </w:p>
  </w:footnote>
  <w:footnote w:id="43">
    <w:p>
      <w:pPr>
        <w:pStyle w:val="Notedebasdepage"/>
      </w:pPr>
      <w:r>
        <w:rPr>
          <w:rStyle w:val="Appelnotedebasdep"/>
        </w:rPr>
        <w:footnoteRef/>
        <w:t xml:space="preserve"> </w:t>
      </w:r>
      <w:r>
        <w:rPr/>
        <w:t xml:space="preserve">Deux types d’ambitieux des romans de Balzac. Leur histoire est révélatrice d’une société (celle de la Restauration) où, à la puissance du titre de noblesse revalorisé par la monarchie, tend à se substituer la puissance que confère à l’argent l’essor récent du capitalisme.</w:t>
      </w:r>
    </w:p>
  </w:footnote>
  <w:footnote w:id="44">
    <w:p>
      <w:pPr>
        <w:pStyle w:val="Notedebasdepage"/>
      </w:pPr>
      <w:r>
        <w:rPr>
          <w:rStyle w:val="Appelnotedebasdep"/>
        </w:rPr>
        <w:footnoteRef/>
        <w:t xml:space="preserve"> </w:t>
      </w:r>
      <w:r>
        <w:rPr/>
        <w:t xml:space="preserve">Types de personnages devenus populaires par les romans de Fenimore Cooper.</w:t>
      </w:r>
    </w:p>
  </w:footnote>
  <w:footnote w:id="45">
    <w:p>
      <w:pPr>
        <w:pStyle w:val="Notedebasdepage"/>
      </w:pPr>
      <w:r>
        <w:rPr>
          <w:rStyle w:val="Appelnotedebasdep"/>
        </w:rPr>
        <w:footnoteRef/>
        <w:t xml:space="preserve"> </w:t>
      </w:r>
      <w:r>
        <w:rPr/>
        <w:t xml:space="preserve">Le coup de patte satirique de Gramsci utilise ici un des innombrables slogans fascistes dont Mussolini avait fait recouvrir les murs de toute l’Italie.</w:t>
      </w:r>
    </w:p>
  </w:footnote>
  <w:footnote w:id="46">
    <w:p>
      <w:pPr>
        <w:pStyle w:val="Notedebasdepage"/>
      </w:pPr>
      <w:r>
        <w:rPr>
          <w:rStyle w:val="Appelnotedebasdep"/>
        </w:rPr>
        <w:footnoteRef/>
        <w:t xml:space="preserve"> </w:t>
      </w:r>
      <w:r>
        <w:rPr>
          <w:i/>
        </w:rPr>
        <w:t xml:space="preserve">Le Marquis de Priola</w:t>
      </w:r>
      <w:r>
        <w:rPr/>
        <w:t xml:space="preserve">, drame de Henry Lavedan (1902), adaptation « fin de siècle » de la légende de Don Juan. – </w:t>
      </w:r>
      <w:r>
        <w:rPr>
          <w:i/>
        </w:rPr>
        <w:t xml:space="preserve">La Griffe</w:t>
      </w:r>
      <w:r>
        <w:rPr/>
        <w:t xml:space="preserve">, drame d’Henri Bernstein (1906).</w:t>
      </w:r>
    </w:p>
  </w:footnote>
  <w:footnote w:id="47">
    <w:p>
      <w:pPr>
        <w:pStyle w:val="Notedebasdepage"/>
      </w:pPr>
      <w:r>
        <w:rPr>
          <w:rStyle w:val="Appelnotedebasdep"/>
        </w:rPr>
        <w:footnoteRef/>
        <w:t xml:space="preserve"> </w:t>
      </w:r>
      <w:r>
        <w:rPr/>
        <w:t xml:space="preserve">Dans le court écrit : « Cette table ronde est carrée », </w:t>
      </w:r>
      <w:r>
        <w:rPr>
          <w:i/>
        </w:rPr>
        <w:t xml:space="preserve">Problèmes d’esthétique</w:t>
      </w:r>
      <w:r>
        <w:rPr/>
        <w:t xml:space="preserve">, II° édition, pp. 139-173, Croce affirme que la proposition, bien que « grammaticalement rationnelle », est logiquement et esthétiquement « absurde » et donc « repoussée hors du domaine de l’esprit théorique » ; il y voit une preuve du fait que la grammaire n’est pas une science mais seulement « un ensemble d’abstractions et de choix entièrement pratiques ».</w:t>
      </w:r>
    </w:p>
    <w:p>
      <w:pPr>
        <w:pStyle w:val="Notedebasdepage"/>
      </w:pPr>
      <w:r>
        <w:rPr/>
        <w:t xml:space="preserve">Il reconnaît toutefois que « si je veux donner une représentation concrète à cette proposition, je dois considérer par exemple qu’elle a été construite intentionnellement pour représenter une incohérence mentale… ce que nous faisons justement en ce moment ». Gramsci part de cette dernière affirmation pour confirmer la « fonctionnalité » c’est-à-dire l’ « historicité » de toute vérité, y compris des vérités grammaticales.</w:t>
      </w:r>
    </w:p>
  </w:footnote>
  <w:footnote w:id="48">
    <w:p>
      <w:pPr>
        <w:pStyle w:val="Notedebasdepage"/>
      </w:pPr>
      <w:r>
        <w:rPr>
          <w:rStyle w:val="Appelnotedebasdep"/>
        </w:rPr>
        <w:footnoteRef/>
        <w:t xml:space="preserve"> </w:t>
      </w:r>
      <w:r>
        <w:rPr/>
        <w:t xml:space="preserve">Gramsci fait allusion ici au rapport entre ce que l’on pourrait appeler, en utilisant son langage, « une direction linguistique planifiée » ou une « taylorisation » dans le domaine de la langue, et l’initiative linguistique individuelle ou autoéducation critique dans le domaine du langage</w:t>
      </w:r>
    </w:p>
  </w:footnote>
  <w:footnote w:id="49">
    <w:p>
      <w:pPr>
        <w:pStyle w:val="Notedebasdepage"/>
      </w:pPr>
      <w:r>
        <w:rPr>
          <w:rStyle w:val="Appelnotedebasdep"/>
        </w:rPr>
        <w:footnoteRef/>
        <w:t xml:space="preserve"> </w:t>
      </w:r>
      <w:r>
        <w:rPr/>
        <w:t xml:space="preserve">En 1918, Gramsci se battit dans</w:t>
      </w:r>
      <w:r>
        <w:rPr>
          <w:i/>
        </w:rPr>
        <w:t xml:space="preserve"> 'Avanti</w:t>
      </w:r>
      <w:r>
        <w:rPr/>
        <w:t xml:space="preserve"> contre les partisans de l’espéranto et surtout contre ceux qui voulaient engager officiellement le Parti socialiste dans le soutien de l’espérantisme, considéré comme l’expression linguistique de la bataille internationaliste. (Voir le résumé de cette polémique dans la note de G. Ferrata à l’article « La langue unique et l’espéranto » in </w:t>
      </w:r>
      <w:r>
        <w:rPr>
          <w:i/>
        </w:rPr>
        <w:t xml:space="preserve">2000 pagine di Gramsci</w:t>
      </w:r>
      <w:r>
        <w:rPr/>
        <w:t xml:space="preserve">, tome 1, pp. 338-339).</w:t>
      </w:r>
    </w:p>
  </w:footnote>
  <w:footnote w:id="50">
    <w:p>
      <w:pPr>
        <w:pStyle w:val="Notedebasdepage"/>
      </w:pPr>
      <w:r>
        <w:rPr>
          <w:rStyle w:val="Appelnotedebasdep"/>
        </w:rPr>
        <w:footnoteRef/>
        <w:t xml:space="preserve"> </w:t>
      </w:r>
      <w:r>
        <w:rPr/>
        <w:t xml:space="preserve">Un problème auquel on ne donne peut-être pas toute l’importance qu’il mérite est celuid e la part de « paroles » versifiées qui sont apprises par cœur sous la forme de chansons, d’extraits d’opéra, etc. Il faut remarquer combien le peuple se soucie peu de bien apprendre par cœur ces paroles, qui sont souvent biscornues, démodées, baroques, mais les réduit à des espèces de rengaines qui ne servent qu’à se rappeler le thème musical. </w:t>
      </w:r>
      <w:r>
        <w:rPr>
          <w:i/>
        </w:rPr>
        <w:t xml:space="preserve">(Note de Gramsci.)</w:t>
      </w:r>
    </w:p>
  </w:footnote>
  <w:footnote w:id="51">
    <w:p>
      <w:pPr>
        <w:pStyle w:val="Notedebasdepage"/>
      </w:pPr>
      <w:r>
        <w:rPr>
          <w:rStyle w:val="Appelnotedebasdep"/>
        </w:rPr>
        <w:footnoteRef/>
        <w:t xml:space="preserve"> </w:t>
      </w:r>
      <w:r>
        <w:rPr/>
        <w:t xml:space="preserve">Voir dans « La question de la langue » </w:t>
      </w:r>
      <w:r>
        <w:rPr>
          <w:i/>
        </w:rPr>
        <w:t xml:space="preserve">Les Intellectuels et l’organisation de la culture</w:t>
      </w:r>
      <w:r>
        <w:rPr/>
        <w:t xml:space="preserve">, pp. 23-24, l’esquisse rapide d’une histoire de la langue italienne comme expression des luttes d’hégémonie politique et culturelle dans le cadre de la société italienne : « Il n’existe pas encore d’histoire de la langue italienne, en ce sens : la grammaire historique ne constitue pas encore cette histoire, au contraire… Je crois que cette étude n’est ni inutile, ni purement érudite, si l’on entend la langue comme élément de la culture et donc de l’histoire générale, et comme manifestation principale de la « nationalité » et de la « popularité » d es intellectuels. » On trouve dans la lettre à Tatiana du 17 novembre 1930 (Lettre n° 170, Gallimard, pp. 265-266) une allusion sommaire mais limpide à cette histoire de la langue italienne qui coïncide, selon Gramsci, avec l’histoire de la « fonction cosmopolite » des intellectuels dans la société italienne. La conclusion en est que pendant toute l’histoire italienne « continua à exister une double langue, la langue populaire ou dialectale, et la langue savante, c’est-à-dire celle des intellectuels et des classes cultivées ». </w:t>
      </w:r>
    </w:p>
  </w:footnote>
  <w:footnote w:id="52">
    <w:p>
      <w:pPr>
        <w:pStyle w:val="Notedebasdepage"/>
      </w:pPr>
      <w:r>
        <w:rPr>
          <w:rStyle w:val="Appelnotedebasdep"/>
        </w:rPr>
        <w:footnoteRef/>
        <w:t xml:space="preserve"> </w:t>
      </w:r>
      <w:r>
        <w:rPr/>
        <w:t xml:space="preserve">Ciro Trabalza et Ettore Allodoli : </w:t>
      </w:r>
      <w:r>
        <w:rPr>
          <w:i/>
        </w:rPr>
        <w:t xml:space="preserve">La Grammaire des Italiens</w:t>
      </w:r>
      <w:r>
        <w:rPr/>
        <w:t xml:space="preserve">, Florence 1935.</w:t>
      </w:r>
    </w:p>
  </w:footnote>
  <w:footnote w:id="53">
    <w:p>
      <w:pPr>
        <w:pStyle w:val="Notedebasdepage"/>
      </w:pPr>
      <w:r>
        <w:rPr>
          <w:rStyle w:val="Appelnotedebasdep"/>
        </w:rPr>
        <w:footnoteRef/>
        <w:t xml:space="preserve"> </w:t>
      </w:r>
      <w:r>
        <w:rPr/>
        <w:t xml:space="preserve">[Il est significatif que la défense de la grammaire à l’école se conclut par cette remarque polémique à l’égard de l’activisme rousseauiste et néo-idéaliste, dont Gramsci rappelle en outre le rapport de dépendance et la « fonction historique ». Mais cela ne signifie pas pour autant une indulgence à l’égard du formalisme grammatical comme on peut le voir dans ce passage d’une lettre à Carlo : « Dans l’apprentissage des langues que tu comptes entreprendre, je te conseille de ne pas trop te perdre dans les grammaires, mais de lire, lire, en feuilletant plus souvent le dictionnaire que la grammaire. La grammaire, selon moi, doit accompagner la traduction et non la précéder. Beaucoup commencent par les grammaires et ils n’en sortent plus, bien qu’ils se cassent la tête. » (Lettre n° 215, Gallimard, pp. 344-345).</w:t>
      </w:r>
    </w:p>
  </w:footnote>
  <w:footnote w:id="54">
    <w:p>
      <w:pPr>
        <w:pStyle w:val="Notedebasdepage"/>
      </w:pPr>
      <w:r>
        <w:rPr>
          <w:rStyle w:val="Appelnotedebasdep"/>
        </w:rPr>
        <w:footnoteRef/>
        <w:t xml:space="preserve"> </w:t>
      </w:r>
      <w:r>
        <w:rPr>
          <w:i/>
        </w:rPr>
        <w:t xml:space="preserve">De vulgari eloquentia</w:t>
      </w:r>
      <w:r>
        <w:rPr/>
        <w:t xml:space="preserve"> (De l’éloquence vulgaire) : Ecrit de Dante destiné à défendre l’usage en littérature de la langue « vulgaire » (c’est-à-dire l’Italien), contre ceux qui préféreraient écrire en latin, langue « savante ». </w:t>
      </w:r>
    </w:p>
  </w:footnote>
  <w:footnote w:id="55">
    <w:p>
      <w:pPr>
        <w:pStyle w:val="Notedebasdepage"/>
      </w:pPr>
      <w:r>
        <w:rPr>
          <w:rStyle w:val="Appelnotedebasdep"/>
        </w:rPr>
        <w:footnoteRef/>
        <w:t xml:space="preserve"> </w:t>
      </w:r>
      <w:r>
        <w:rPr>
          <w:i/>
        </w:rPr>
        <w:t xml:space="preserve">Illuminisme, philosophie illuministe</w:t>
      </w:r>
      <w:r>
        <w:rPr/>
        <w:t xml:space="preserve"> : c’est l’appellation italienne du courant philosophique du siècle des « lumières », c’est-à-dire le XVIII° siècle français, avec ses grands écrivains qui ont apporté les « lumières » de la raison</w:t>
      </w:r>
    </w:p>
  </w:footnote>
  <w:footnote w:id="56">
    <w:p>
      <w:pPr>
        <w:pStyle w:val="Notedebasdepage"/>
      </w:pPr>
      <w:r>
        <w:rPr>
          <w:rStyle w:val="Appelnotedebasdep"/>
        </w:rPr>
        <w:footnoteRef/>
        <w:t xml:space="preserve"> </w:t>
      </w:r>
      <w:r>
        <w:rPr/>
        <w:t xml:space="preserve">Les </w:t>
      </w:r>
      <w:r>
        <w:rPr>
          <w:i/>
        </w:rPr>
        <w:t xml:space="preserve">Abruzzes</w:t>
      </w:r>
      <w:r>
        <w:rPr/>
        <w:t xml:space="preserve"> : région centrale des Apennins qui a donné son nom à la province actuelle d’Abruzzes et Molise (villes principales : Pescara, l’Aquila). / La Basilicata : province du sud de l’Italie (villes principales Potenza, Matera). / Ces deux régions sont parmi les plus pauvres de l’Italie.</w:t>
      </w:r>
    </w:p>
  </w:footnote>
  <w:footnote w:id="57">
    <w:p>
      <w:pPr>
        <w:pStyle w:val="Notedebasdepage"/>
      </w:pPr>
      <w:r>
        <w:rPr>
          <w:rStyle w:val="Appelnotedebasdep"/>
        </w:rPr>
        <w:footnoteRef/>
        <w:t xml:space="preserve"> </w:t>
      </w:r>
      <w:r>
        <w:rPr/>
        <w:t xml:space="preserve">Désireux de rompre avec son milieu et son éducation aristocratique, Alfieri résolut, tout jeune, de se former par lui-même une personnalité égale à celle des héros de Plutarque qu’il admirait : pour se forcer à étudier, il se faisait attacher à sa chaise, devant son bureau, quatre à cinq heures par jour.</w:t>
      </w:r>
    </w:p>
  </w:footnote>
  <w:footnote w:id="58">
    <w:p>
      <w:pPr>
        <w:pStyle w:val="Notedebasdepage"/>
      </w:pPr>
      <w:r>
        <w:rPr>
          <w:rStyle w:val="Appelnotedebasdep"/>
        </w:rPr>
        <w:footnoteRef/>
        <w:t xml:space="preserve"> </w:t>
      </w:r>
      <w:r>
        <w:rPr/>
        <w:t xml:space="preserve">Lev Davidovitch Bronstein (Trotsky)</w:t>
      </w:r>
    </w:p>
  </w:footnote>
  <w:footnote w:id="59">
    <w:p>
      <w:pPr>
        <w:pStyle w:val="Notedebasdepage"/>
      </w:pPr>
      <w:r>
        <w:rPr>
          <w:rStyle w:val="Appelnotedebasdep"/>
        </w:rPr>
        <w:footnoteRef/>
        <w:t xml:space="preserve"> </w:t>
      </w:r>
      <w:r>
        <w:rPr/>
        <w:t xml:space="preserve">« </w:t>
      </w:r>
      <w:r>
        <w:rPr>
          <w:i/>
        </w:rPr>
        <w:t xml:space="preserve">Byt</w:t>
      </w:r>
      <w:r>
        <w:rPr/>
        <w:t xml:space="preserve"> » : signifie en russe le mode de vie.</w:t>
      </w:r>
    </w:p>
  </w:footnote>
  <w:footnote w:id="60">
    <w:p>
      <w:pPr>
        <w:pStyle w:val="Notedebasdepage"/>
      </w:pPr>
      <w:r>
        <w:rPr>
          <w:rStyle w:val="Appelnotedebasdep"/>
        </w:rPr>
        <w:footnoteRef/>
        <w:t xml:space="preserve"> </w:t>
      </w:r>
      <w:r>
        <w:rPr/>
        <w:t xml:space="preserve">En français dans le texte</w:t>
      </w:r>
    </w:p>
  </w:footnote>
  <w:footnote w:id="61">
    <w:p>
      <w:pPr>
        <w:pStyle w:val="Notedebasdepage"/>
      </w:pPr>
      <w:r>
        <w:rPr>
          <w:rStyle w:val="Appelnotedebasdep"/>
        </w:rPr>
        <w:footnoteRef/>
        <w:t xml:space="preserve"> </w:t>
      </w:r>
      <w:r>
        <w:rPr>
          <w:i/>
        </w:rPr>
        <w:t xml:space="preserve">Démiurge</w:t>
      </w:r>
      <w:r>
        <w:rPr/>
        <w:t xml:space="preserve"> : le nom du créateur du monde dans la philosophie grecque ancienne.</w:t>
      </w:r>
    </w:p>
  </w:footnote>
  <w:footnote w:id="62">
    <w:p>
      <w:pPr>
        <w:pStyle w:val="Notedebasdepage"/>
      </w:pPr>
      <w:r>
        <w:rPr>
          <w:rStyle w:val="Appelnotedebasdep"/>
        </w:rPr>
        <w:footnoteRef/>
        <w:t xml:space="preserve"> </w:t>
      </w:r>
      <w:r>
        <w:rPr/>
        <w:t xml:space="preserve">« </w:t>
      </w:r>
      <w:r>
        <w:rPr>
          <w:i/>
        </w:rPr>
        <w:t xml:space="preserve">Venerem facilemparabilemque</w:t>
      </w:r>
      <w:r>
        <w:rPr/>
        <w:t xml:space="preserve"> » (l’amour facile et toujours à ma portée) : citation du poète latin Horace (</w:t>
      </w:r>
      <w:r>
        <w:rPr>
          <w:i/>
        </w:rPr>
        <w:t xml:space="preserve">Satires</w:t>
      </w:r>
      <w:r>
        <w:rPr/>
        <w:t xml:space="preserve">, Livre II, vers 119).</w:t>
      </w:r>
    </w:p>
  </w:footnote>
  <w:footnote w:id="63">
    <w:p>
      <w:pPr>
        <w:pStyle w:val="Notedebasdepage"/>
      </w:pPr>
      <w:r>
        <w:rPr>
          <w:rStyle w:val="Appelnotedebasdep"/>
        </w:rPr>
        <w:footnoteRef/>
        <w:t xml:space="preserve"> </w:t>
      </w:r>
      <w:r>
        <w:rPr/>
        <w:t xml:space="preserve">Une des grandes compagnies de production cinématographique de Hollywood. Sur l’expansion économique de Hollywood à cette époque, et sur le « star system », voir Georges Sadoul : </w:t>
      </w:r>
      <w:r>
        <w:rPr>
          <w:i/>
        </w:rPr>
        <w:t xml:space="preserve">Histoire d’un art, le cinéma.</w:t>
      </w:r>
      <w:r>
        <w:rPr/>
        <w:t xml:space="preserve"> Paris, Flammarion, chap. XX, et, du même auteur : </w:t>
      </w:r>
      <w:r>
        <w:rPr>
          <w:i/>
        </w:rPr>
        <w:t xml:space="preserve">Les Merveilles du cinéma</w:t>
      </w:r>
      <w:r>
        <w:rPr/>
        <w:t xml:space="preserve">, Paris, Editeurs Français Réunis, 1957, chap. IV, pp. 72-74.</w:t>
      </w:r>
    </w:p>
  </w:footnote>
  <w:footnote w:id="64">
    <w:p>
      <w:pPr>
        <w:pStyle w:val="Notedebasdepage"/>
      </w:pPr>
      <w:r>
        <w:rPr>
          <w:rStyle w:val="Appelnotedebasdep"/>
        </w:rPr>
        <w:footnoteRef/>
        <w:t xml:space="preserve"> </w:t>
      </w:r>
      <w:r>
        <w:rPr/>
        <w:t xml:space="preserve">Le mouvement des Conseils d’usine, lancé par le groupe </w:t>
      </w:r>
      <w:r>
        <w:rPr>
          <w:i/>
        </w:rPr>
        <w:t xml:space="preserve">L'Ordine nuovo.</w:t>
      </w:r>
    </w:p>
  </w:footnote>
  <w:footnote w:id="65">
    <w:p>
      <w:pPr>
        <w:pStyle w:val="Notedebasdepage"/>
      </w:pPr>
      <w:r>
        <w:rPr>
          <w:rStyle w:val="Appelnotedebasdep"/>
        </w:rPr>
        <w:footnoteRef/>
        <w:t xml:space="preserve"> </w:t>
      </w:r>
      <w:r>
        <w:rPr>
          <w:i/>
        </w:rPr>
        <w:t xml:space="preserve">Critique del’économie politique</w:t>
      </w:r>
      <w:r>
        <w:rPr/>
        <w:t xml:space="preserve"> est le sous-titre du </w:t>
      </w:r>
      <w:r>
        <w:rPr>
          <w:i/>
        </w:rPr>
        <w:t xml:space="preserve">Capital</w:t>
      </w:r>
      <w:r>
        <w:rPr/>
        <w:t xml:space="preserve"> de Karl Marx.</w:t>
      </w:r>
    </w:p>
  </w:footnote>
  <w:footnote w:id="66">
    <w:p>
      <w:pPr>
        <w:pStyle w:val="Notedebasdepage"/>
      </w:pPr>
      <w:r>
        <w:rPr>
          <w:rStyle w:val="Appelnotedebasdep"/>
        </w:rPr>
        <w:footnoteRef/>
        <w:t xml:space="preserve"> </w:t>
      </w:r>
      <w:r>
        <w:rPr/>
        <w:t xml:space="preserve">(Pas de grand homme pour son valet de chambre.) Hegel est revenu plusieurs fois sur cette locution proverbiale, dont il conteste la portée : le point de vue du valet de chambre ne prouve pas la petitesse du héros, mais seulement celle du valet. Plus généralement l’historien empirique, anecdotique, déforme l’histoire en n’en retenant que les petits côtés.</w:t>
      </w:r>
    </w:p>
  </w:footnote>
  <w:footnote w:id="67">
    <w:p>
      <w:pPr>
        <w:pStyle w:val="Notedebasdepage"/>
      </w:pPr>
      <w:r>
        <w:rPr>
          <w:rStyle w:val="Appelnotedebasdep"/>
        </w:rPr>
        <w:footnoteRef/>
        <w:t xml:space="preserve"> </w:t>
      </w:r>
      <w:r>
        <w:rPr>
          <w:i/>
        </w:rPr>
        <w:t xml:space="preserve">Le Manifeste du Parti communiste</w:t>
      </w:r>
      <w:r>
        <w:rPr/>
        <w:t xml:space="preserve">, de Marx et Engels.</w:t>
      </w:r>
    </w:p>
  </w:footnote>
  <w:footnote w:id="68">
    <w:p>
      <w:pPr>
        <w:pStyle w:val="Notedebasdepage"/>
      </w:pPr>
      <w:r>
        <w:rPr>
          <w:rStyle w:val="Appelnotedebasdep"/>
        </w:rPr>
        <w:footnoteRef/>
        <w:t xml:space="preserve"> </w:t>
      </w:r>
      <w:r>
        <w:rPr/>
        <w:t xml:space="preserve">Extrait du fascicule 28 du « Saggiatore », Rome 1933, </w:t>
      </w:r>
      <w:r>
        <w:rPr>
          <w:i/>
        </w:rPr>
        <w:t xml:space="preserve">in 8°</w:t>
      </w:r>
      <w:r>
        <w:rPr/>
        <w:t xml:space="preserve">, p. 32 </w:t>
      </w:r>
      <w:r>
        <w:rPr>
          <w:i/>
        </w:rPr>
        <w:t xml:space="preserve">(Note de Gramsci).</w:t>
      </w:r>
    </w:p>
  </w:footnote>
  <w:footnote w:id="69">
    <w:p>
      <w:pPr>
        <w:pStyle w:val="Notedebasdepage"/>
      </w:pPr>
      <w:r>
        <w:rPr>
          <w:rStyle w:val="Appelnotedebasdep"/>
        </w:rPr>
        <w:footnoteRef/>
        <w:t xml:space="preserve"> </w:t>
      </w:r>
      <w:r>
        <w:rPr>
          <w:i/>
        </w:rPr>
        <w:t xml:space="preserve">Strapaese</w:t>
      </w:r>
      <w:r>
        <w:rPr/>
        <w:t xml:space="preserve"> (super-pays ou super-village) : était un mouvement littéraire de tendance traditionaliste s’opposant au mouvement </w:t>
      </w:r>
      <w:r>
        <w:rPr>
          <w:i/>
        </w:rPr>
        <w:t xml:space="preserve">Stracittà</w:t>
      </w:r>
      <w:r>
        <w:rPr/>
        <w:t xml:space="preserve"> (super-ville) qui se voulait plus moderne.</w:t>
      </w:r>
    </w:p>
  </w:footnote>
  <w:footnote w:id="70">
    <w:p>
      <w:pPr>
        <w:pStyle w:val="Notedebasdepage"/>
      </w:pPr>
      <w:r>
        <w:rPr>
          <w:rStyle w:val="Appelnotedebasdep"/>
        </w:rPr>
        <w:footnoteRef/>
        <w:t xml:space="preserve"> </w:t>
      </w:r>
      <w:r>
        <w:rPr/>
        <w:t xml:space="preserve">L'</w:t>
      </w:r>
      <w:r>
        <w:rPr>
          <w:i/>
        </w:rPr>
        <w:t xml:space="preserve">Unita</w:t>
      </w:r>
      <w:r>
        <w:rPr/>
        <w:t xml:space="preserve"> de Salvemini.</w:t>
      </w:r>
    </w:p>
  </w:footnote>
  <w:footnote w:id="71">
    <w:p>
      <w:pPr>
        <w:pStyle w:val="Notedebasdepage"/>
      </w:pPr>
      <w:r>
        <w:rPr>
          <w:rStyle w:val="Appelnotedebasdep"/>
        </w:rPr>
        <w:footnoteRef/>
        <w:t xml:space="preserve"> </w:t>
      </w:r>
      <w:r>
        <w:rPr/>
        <w:t xml:space="preserve">Kant écrit exactement : « Agis comme si la maxime de ton action devait être érigée par ta volonté en loi universelle de la nature. » Gramsci cite de mémoire.</w:t>
      </w:r>
    </w:p>
  </w:footnote>
  <w:footnote w:id="72">
    <w:p>
      <w:pPr>
        <w:pStyle w:val="Notedebasdepage"/>
      </w:pPr>
      <w:r>
        <w:rPr>
          <w:rStyle w:val="Appelnotedebasdep"/>
        </w:rPr>
        <w:footnoteRef/>
        <w:t xml:space="preserve"> </w:t>
      </w:r>
      <w:r>
        <w:rPr/>
        <w:t xml:space="preserve">De bonne foi.</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