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ne prétendons pas envelopper dans le même dédain </w:t>
      </w:r>
      <w:r>
        <w:rPr>
          <w:i/>
        </w:rPr>
        <w:t xml:space="preserve">tout</w:t>
      </w:r>
      <w:r>
        <w:rPr/>
        <w:t xml:space="preserve"> ce qui a été dit à cette occasion à la Chambre. Il s’est bien prononcé çà et là quelques belles et dignes paroles. Nous avons applaudi, comme tout le monde, au discours grave et simple de M. de Lafayette, et, dans une autre nuance, à la remarquable improvisation de M. Villemain.</w:t>
      </w:r>
    </w:p>
  </w:footnote>
  <w:footnote w:id="2">
    <w:p>
      <w:pPr>
        <w:pStyle w:val="Notedebasdepage"/>
      </w:pPr>
      <w:r>
        <w:rPr>
          <w:rStyle w:val="Appelnotedebasdep"/>
        </w:rPr>
        <w:footnoteRef/>
        <w:t xml:space="preserve"> </w:t>
      </w:r>
      <w:r>
        <w:rPr/>
        <w:t xml:space="preserve">La Porte dit vingt-deux, mais Aubery dit trente-quatre. M. de Chalais cria jusqu’au vingtième.</w:t>
      </w:r>
    </w:p>
  </w:footnote>
  <w:footnote w:id="3">
    <w:p>
      <w:pPr>
        <w:pStyle w:val="Notedebasdepage"/>
      </w:pPr>
      <w:r>
        <w:rPr>
          <w:rStyle w:val="Appelnotedebasdep"/>
        </w:rPr>
        <w:footnoteRef/>
        <w:t xml:space="preserve"> </w:t>
      </w:r>
      <w:r>
        <w:rPr/>
        <w:t xml:space="preserve">Le « parlement » d’Otahiti vient d’abolir la peine de mort.</w:t>
      </w:r>
    </w:p>
  </w:footnote>
  <w:footnote w:id="4">
    <w:p>
      <w:pPr>
        <w:pStyle w:val="Notedebasdepage"/>
      </w:pPr>
      <w:r>
        <w:rPr>
          <w:rStyle w:val="Appelnotedebasdep"/>
        </w:rPr>
        <w:footnoteRef/>
        <w:t xml:space="preserve"> </w:t>
      </w:r>
      <w:r>
        <w:rPr/>
        <w:t xml:space="preserve">Nous avons cru devoir réimprimer ici l’espèce de préface en dialogue qu’on va lire, et qui accompagnait la quatrième édition du </w:t>
      </w:r>
      <w:r>
        <w:rPr>
          <w:i/>
        </w:rPr>
        <w:t xml:space="preserve">Dernier Jour d’un condamné.</w:t>
      </w:r>
      <w:r>
        <w:rPr/>
        <w:t xml:space="preserve"> Il faut se rappeler, en la lisant, au milieu de quelles objections politiques, morales et littéraires les premières éditions de ce livre furent publiées. </w:t>
      </w:r>
      <w:r>
        <w:rPr>
          <w:i/>
        </w:rPr>
        <w:t xml:space="preserve">(Édition de</w:t>
      </w:r>
      <w:r>
        <w:rPr/>
        <w:t xml:space="preserve"> 1832).</w:t>
      </w:r>
    </w:p>
  </w:footnote>
  <w:footnote w:id="5">
    <w:p>
      <w:pPr>
        <w:pStyle w:val="Notedebasdepage"/>
      </w:pPr>
      <w:r>
        <w:rPr>
          <w:rStyle w:val="Appelnotedebasdep"/>
        </w:rPr>
        <w:footnoteRef/>
        <w:t xml:space="preserve"> </w:t>
      </w:r>
      <w:r>
        <w:rPr/>
        <w:t xml:space="preserve">Le bourreau.</w:t>
      </w:r>
    </w:p>
  </w:footnote>
  <w:footnote w:id="6">
    <w:p>
      <w:pPr>
        <w:pStyle w:val="Notedebasdepage"/>
      </w:pPr>
      <w:r>
        <w:rPr>
          <w:rStyle w:val="Appelnotedebasdep"/>
        </w:rPr>
        <w:footnoteRef/>
        <w:t xml:space="preserve"> </w:t>
      </w:r>
      <w:r>
        <w:rPr/>
        <w:t xml:space="preserve">Mes mains.</w:t>
      </w:r>
    </w:p>
  </w:footnote>
  <w:footnote w:id="7">
    <w:p>
      <w:pPr>
        <w:pStyle w:val="Notedebasdepage"/>
      </w:pPr>
      <w:r>
        <w:rPr>
          <w:rStyle w:val="Appelnotedebasdep"/>
        </w:rPr>
        <w:footnoteRef/>
        <w:t xml:space="preserve"> </w:t>
      </w:r>
      <w:r>
        <w:rPr/>
        <w:t xml:space="preserve">Une poche.</w:t>
      </w:r>
    </w:p>
  </w:footnote>
  <w:footnote w:id="8">
    <w:p>
      <w:pPr>
        <w:pStyle w:val="Notedebasdepage"/>
      </w:pPr>
      <w:r>
        <w:rPr>
          <w:rStyle w:val="Appelnotedebasdep"/>
        </w:rPr>
        <w:footnoteRef/>
        <w:t xml:space="preserve"> </w:t>
      </w:r>
      <w:r>
        <w:rPr/>
        <w:t xml:space="preserve">Je volais un manteau.</w:t>
      </w:r>
    </w:p>
  </w:footnote>
  <w:footnote w:id="9">
    <w:p>
      <w:pPr>
        <w:pStyle w:val="Notedebasdepage"/>
      </w:pPr>
      <w:r>
        <w:rPr>
          <w:rStyle w:val="Appelnotedebasdep"/>
        </w:rPr>
        <w:footnoteRef/>
        <w:t xml:space="preserve"> </w:t>
      </w:r>
      <w:r>
        <w:rPr/>
        <w:t xml:space="preserve">Un filou.</w:t>
      </w:r>
    </w:p>
  </w:footnote>
  <w:footnote w:id="10">
    <w:p>
      <w:pPr>
        <w:pStyle w:val="Notedebasdepage"/>
      </w:pPr>
      <w:r>
        <w:rPr>
          <w:rStyle w:val="Appelnotedebasdep"/>
        </w:rPr>
        <w:footnoteRef/>
        <w:t xml:space="preserve"> </w:t>
      </w:r>
      <w:r>
        <w:rPr/>
        <w:t xml:space="preserve">Un voleur.</w:t>
      </w:r>
    </w:p>
  </w:footnote>
  <w:footnote w:id="11">
    <w:p>
      <w:pPr>
        <w:pStyle w:val="Notedebasdepage"/>
      </w:pPr>
      <w:r>
        <w:rPr>
          <w:rStyle w:val="Appelnotedebasdep"/>
        </w:rPr>
        <w:footnoteRef/>
        <w:t xml:space="preserve"> </w:t>
      </w:r>
      <w:r>
        <w:rPr/>
        <w:t xml:space="preserve">Je forçais une boutique, je faussais une clef.</w:t>
      </w:r>
    </w:p>
  </w:footnote>
  <w:footnote w:id="12">
    <w:p>
      <w:pPr>
        <w:pStyle w:val="Notedebasdepage"/>
      </w:pPr>
      <w:r>
        <w:rPr>
          <w:rStyle w:val="Appelnotedebasdep"/>
        </w:rPr>
        <w:footnoteRef/>
        <w:t xml:space="preserve"> </w:t>
      </w:r>
      <w:r>
        <w:rPr/>
        <w:t xml:space="preserve">Aux galères.</w:t>
      </w:r>
    </w:p>
  </w:footnote>
  <w:footnote w:id="13">
    <w:p>
      <w:pPr>
        <w:pStyle w:val="Notedebasdepage"/>
      </w:pPr>
      <w:r>
        <w:rPr>
          <w:rStyle w:val="Appelnotedebasdep"/>
        </w:rPr>
        <w:footnoteRef/>
        <w:t xml:space="preserve"> </w:t>
      </w:r>
      <w:r>
        <w:rPr/>
        <w:t xml:space="preserve">Une soutane d’abbé.</w:t>
      </w:r>
    </w:p>
  </w:footnote>
  <w:footnote w:id="14">
    <w:p>
      <w:pPr>
        <w:pStyle w:val="Notedebasdepage"/>
      </w:pPr>
      <w:r>
        <w:rPr>
          <w:rStyle w:val="Appelnotedebasdep"/>
        </w:rPr>
        <w:footnoteRef/>
        <w:t xml:space="preserve"> </w:t>
      </w:r>
      <w:r>
        <w:rPr/>
        <w:t xml:space="preserve">Habiter.</w:t>
      </w:r>
    </w:p>
  </w:footnote>
  <w:footnote w:id="15">
    <w:p>
      <w:pPr>
        <w:pStyle w:val="Notedebasdepage"/>
      </w:pPr>
      <w:r>
        <w:rPr>
          <w:rStyle w:val="Appelnotedebasdep"/>
        </w:rPr>
        <w:footnoteRef/>
        <w:t xml:space="preserve"> </w:t>
      </w:r>
      <w:r>
        <w:rPr/>
        <w:t xml:space="preserve">Ramené au bagne.</w:t>
      </w:r>
    </w:p>
  </w:footnote>
  <w:footnote w:id="16">
    <w:p>
      <w:pPr>
        <w:pStyle w:val="Notedebasdepage"/>
      </w:pPr>
      <w:r>
        <w:rPr>
          <w:rStyle w:val="Appelnotedebasdep"/>
        </w:rPr>
        <w:footnoteRef/>
        <w:t xml:space="preserve"> </w:t>
      </w:r>
      <w:r>
        <w:rPr/>
        <w:t xml:space="preserve">Les condamnés à perpétuité.</w:t>
      </w:r>
    </w:p>
  </w:footnote>
  <w:footnote w:id="17">
    <w:p>
      <w:pPr>
        <w:pStyle w:val="Notedebasdepage"/>
      </w:pPr>
      <w:r>
        <w:rPr>
          <w:rStyle w:val="Appelnotedebasdep"/>
        </w:rPr>
        <w:footnoteRef/>
        <w:t xml:space="preserve"> </w:t>
      </w:r>
      <w:r>
        <w:rPr/>
        <w:t xml:space="preserve">Leur chef.</w:t>
      </w:r>
    </w:p>
  </w:footnote>
  <w:footnote w:id="18">
    <w:p>
      <w:pPr>
        <w:pStyle w:val="Notedebasdepage"/>
      </w:pPr>
      <w:r>
        <w:rPr>
          <w:rStyle w:val="Appelnotedebasdep"/>
        </w:rPr>
        <w:footnoteRef/>
        <w:t xml:space="preserve"> </w:t>
      </w:r>
      <w:r>
        <w:rPr/>
        <w:t xml:space="preserve">On assassinait sur les grands chemins.</w:t>
      </w:r>
    </w:p>
  </w:footnote>
  <w:footnote w:id="19">
    <w:p>
      <w:pPr>
        <w:pStyle w:val="Notedebasdepage"/>
      </w:pPr>
      <w:r>
        <w:rPr>
          <w:rStyle w:val="Appelnotedebasdep"/>
        </w:rPr>
        <w:footnoteRef/>
        <w:t xml:space="preserve"> </w:t>
      </w:r>
      <w:r>
        <w:rPr/>
        <w:t xml:space="preserve">Les gendarmes.</w:t>
      </w:r>
    </w:p>
  </w:footnote>
  <w:footnote w:id="20">
    <w:p>
      <w:pPr>
        <w:pStyle w:val="Notedebasdepage"/>
      </w:pPr>
      <w:r>
        <w:rPr>
          <w:rStyle w:val="Appelnotedebasdep"/>
        </w:rPr>
        <w:footnoteRef/>
        <w:t xml:space="preserve"> </w:t>
      </w:r>
      <w:r>
        <w:rPr/>
        <w:t xml:space="preserve">Camarades.</w:t>
      </w:r>
    </w:p>
  </w:footnote>
  <w:footnote w:id="21">
    <w:p>
      <w:pPr>
        <w:pStyle w:val="Notedebasdepage"/>
      </w:pPr>
      <w:r>
        <w:rPr>
          <w:rStyle w:val="Appelnotedebasdep"/>
        </w:rPr>
        <w:footnoteRef/>
        <w:t xml:space="preserve"> </w:t>
      </w:r>
      <w:r>
        <w:rPr/>
        <w:t xml:space="preserve">Le bourreau.</w:t>
      </w:r>
    </w:p>
  </w:footnote>
  <w:footnote w:id="22">
    <w:p>
      <w:pPr>
        <w:pStyle w:val="Notedebasdepage"/>
      </w:pPr>
      <w:r>
        <w:rPr>
          <w:rStyle w:val="Appelnotedebasdep"/>
        </w:rPr>
        <w:footnoteRef/>
        <w:t xml:space="preserve"> </w:t>
      </w:r>
      <w:r>
        <w:rPr/>
        <w:t xml:space="preserve">A été pendu.</w:t>
      </w:r>
    </w:p>
  </w:footnote>
  <w:footnote w:id="23">
    <w:p>
      <w:pPr>
        <w:pStyle w:val="Notedebasdepage"/>
      </w:pPr>
      <w:r>
        <w:rPr>
          <w:rStyle w:val="Appelnotedebasdep"/>
        </w:rPr>
        <w:footnoteRef/>
        <w:t xml:space="preserve"> </w:t>
      </w:r>
      <w:r>
        <w:rPr/>
        <w:t xml:space="preserve">La guillotine.</w:t>
      </w:r>
    </w:p>
  </w:footnote>
  <w:footnote w:id="24">
    <w:p>
      <w:pPr>
        <w:pStyle w:val="Notedebasdepage"/>
      </w:pPr>
      <w:r>
        <w:rPr>
          <w:rStyle w:val="Appelnotedebasdep"/>
        </w:rPr>
        <w:footnoteRef/>
        <w:t xml:space="preserve"> </w:t>
      </w:r>
      <w:r>
        <w:rPr/>
        <w:t xml:space="preserve">Le poltron devant la mort.</w:t>
      </w:r>
    </w:p>
  </w:footnote>
  <w:footnote w:id="25">
    <w:p>
      <w:pPr>
        <w:pStyle w:val="Notedebasdepage"/>
      </w:pPr>
      <w:r>
        <w:rPr>
          <w:rStyle w:val="Appelnotedebasdep"/>
        </w:rPr>
        <w:footnoteRef/>
        <w:t xml:space="preserve"> </w:t>
      </w:r>
      <w:r>
        <w:rPr/>
        <w:t xml:space="preserve">Place de Grève.</w:t>
      </w:r>
    </w:p>
  </w:footnote>
  <w:footnote w:id="26">
    <w:p>
      <w:pPr>
        <w:pStyle w:val="Notedebasdepage"/>
      </w:pPr>
      <w:r>
        <w:rPr>
          <w:rStyle w:val="Appelnotedebasdep"/>
        </w:rPr>
        <w:footnoteRef/>
        <w:t xml:space="preserve"> </w:t>
      </w:r>
      <w:r>
        <w:rPr/>
        <w:t xml:space="preserve">Vous.</w:t>
      </w:r>
    </w:p>
  </w:footnote>
  <w:footnote w:id="27">
    <w:p>
      <w:pPr>
        <w:pStyle w:val="Notedebasdepage"/>
      </w:pPr>
      <w:r>
        <w:rPr>
          <w:rStyle w:val="Appelnotedebasdep"/>
        </w:rPr>
        <w:footnoteRef/>
        <w:t xml:space="preserve"> </w:t>
      </w:r>
      <w:r>
        <w:rPr/>
        <w:t xml:space="preserve">Le prêtre.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37491h" TargetMode="External" Type="http://schemas.openxmlformats.org/officeDocument/2006/relationships/hyperlink" Id="ref1"/>
  <Relationship Target="http://efele.net/ebooks/livres/000205"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