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La célébration du centenaire de Victor Hugo, qui donne de l’actualité à cette étude, nous a suggéré l’idée de la republier : écrite le lendemain de sa mort, elle n’a pas encore perdu son originalité, le côté de la vie publique qu’elle expose n’ayant été ni discuté, ni analysé.</w:t>
      </w:r>
      <w:r>
        <w:rPr/>
        <w:t xml:space="preserve"> </w:t>
      </w:r>
      <w:r>
        <w:rPr>
          <w:smallCaps/>
        </w:rPr>
        <w:t xml:space="preserve">L’Éditeur</w:t>
      </w:r>
      <w:r>
        <w:rPr/>
        <w:t xml:space="preserve">.</w:t>
      </w:r>
    </w:p>
  </w:footnote>
  <w:footnote w:id="2">
    <w:p>
      <w:pPr>
        <w:pStyle w:val="Notedebasdepage"/>
      </w:pPr>
      <w:r>
        <w:rPr>
          <w:rStyle w:val="Appelnotedebasdep"/>
        </w:rPr>
        <w:footnoteRef/>
        <w:t xml:space="preserve"> </w:t>
      </w:r>
      <w:r>
        <w:rPr/>
        <w:t xml:space="preserve">Victor Hugo, </w:t>
      </w:r>
      <w:r>
        <w:rPr>
          <w:rStyle w:val="title-c"/>
        </w:rPr>
        <w:t>Philosophie et littérature mêlées</w:t>
      </w:r>
      <w:r>
        <w:rPr/>
        <w:t xml:space="preserve">, 1831 Vol. 1. 203.</w:t>
      </w:r>
    </w:p>
  </w:footnote>
  <w:footnote w:id="3">
    <w:p>
      <w:pPr>
        <w:pStyle w:val="Notedebasdepage"/>
      </w:pPr>
      <w:r>
        <w:rPr>
          <w:rStyle w:val="Appelnotedebasdep"/>
        </w:rPr>
        <w:footnoteRef/>
        <w:t xml:space="preserve"> </w:t>
      </w:r>
      <w:r>
        <w:rPr>
          <w:rStyle w:val="title-c"/>
        </w:rPr>
        <w:t>Victor Hugo raconté par un témoin de sa vie</w:t>
      </w:r>
      <w:r>
        <w:rPr/>
        <w:t xml:space="preserve">. Vol. 1. 147. Première édition.</w:t>
      </w:r>
    </w:p>
  </w:footnote>
  <w:footnote w:id="4">
    <w:p>
      <w:pPr>
        <w:pStyle w:val="Notedebasdepage"/>
      </w:pPr>
      <w:r>
        <w:rPr>
          <w:rStyle w:val="Appelnotedebasdep"/>
        </w:rPr>
        <w:footnoteRef/>
        <w:t xml:space="preserve"> </w:t>
      </w:r>
      <w:r>
        <w:rPr/>
        <w:t xml:space="preserve">De 1817 à 1826 aucun événement heureux ou malheureux ne pouvait arriver à la famille royale, sans qu’il ne saisit aussitôt sa bonne plume d’oie : tantôt c’est une naissance, un baptême, une mort ; tantôt un avènement, un sacre, qui allume sa verve. Hugo est le Belmontet de Louis XVIII et de Charles X ; il est le poète officiel, attaché au service personnel de la famille royale.</w:t>
      </w:r>
    </w:p>
  </w:footnote>
  <w:footnote w:id="5">
    <w:p>
      <w:pPr>
        <w:pStyle w:val="Notedebasdepage"/>
      </w:pPr>
      <w:r>
        <w:rPr>
          <w:rStyle w:val="Appelnotedebasdep"/>
        </w:rPr>
        <w:footnoteRef/>
        <w:t xml:space="preserve"> </w:t>
      </w:r>
      <w:r>
        <w:rPr/>
        <w:t xml:space="preserve">La plainte de ces intéressants et intéressés jeunes gens est touchante. </w:t>
      </w:r>
      <w:r>
        <w:rPr>
          <w:rStyle w:val="quote"/>
        </w:rPr>
        <w:t xml:space="preserve">« Le Conservateur n’a reçu aucun encouragement du gouvernement, disent-ils. D’autres recueils ont trouvé moyen de faire bénéfice sur les faveurs du ministre du roi, lesquels se sont souvenus des avantages de l’économie lorsqu’il s’est agi d’encourager un ouvrage assez maladroit pour se montrer royaliste et indépendant. »</w:t>
      </w:r>
      <w:r>
        <w:rPr/>
        <w:t xml:space="preserve"> (Préface du troisième volume du </w:t>
      </w:r>
      <w:r>
        <w:rPr>
          <w:rStyle w:val="title-c"/>
        </w:rPr>
        <w:t>Conservateur littéraire</w:t>
      </w:r>
      <w:r>
        <w:rPr/>
        <w:t xml:space="preserve">). — Cependant page 361 du même recueil on lit : </w:t>
      </w:r>
      <w:r>
        <w:rPr>
          <w:rStyle w:val="quote"/>
        </w:rPr>
        <w:t xml:space="preserve">« L’ode sur la mort du duc de Berry, insérée dans la septième livraison, ayant été communiquée par le comte de Neufchâteau au duc de Richelieu, président du conseil des ministres et zélé pour les lettres, qui l’ayant jugée digne d’être mise sous les yeux du Roi, sa Majesté daigna ordonner qu’une gratification (sic), de 500 fr. fût remise à l’auteur, M. V. Hugo, en témoignage de son auguste satisfaction. »</w:t>
      </w:r>
    </w:p>
  </w:footnote>
  <w:footnote w:id="6">
    <w:p>
      <w:pPr>
        <w:pStyle w:val="Notedebasdepage"/>
      </w:pPr>
      <w:r>
        <w:rPr>
          <w:rStyle w:val="Appelnotedebasdep"/>
        </w:rPr>
        <w:footnoteRef/>
        <w:t xml:space="preserve"> </w:t>
      </w:r>
      <w:r>
        <w:rPr>
          <w:rStyle w:val="title-c"/>
        </w:rPr>
        <w:t>Le Conservateur littéraire</w:t>
      </w:r>
      <w:r>
        <w:rPr/>
        <w:t xml:space="preserve">, vol. 2, p. 245.</w:t>
      </w:r>
    </w:p>
  </w:footnote>
  <w:footnote w:id="7">
    <w:p>
      <w:pPr>
        <w:pStyle w:val="Notedebasdepage"/>
      </w:pPr>
      <w:r>
        <w:rPr>
          <w:rStyle w:val="Appelnotedebasdep"/>
        </w:rPr>
        <w:footnoteRef/>
        <w:t xml:space="preserve"> </w:t>
      </w:r>
      <w:r>
        <w:rPr/>
        <w:t xml:space="preserve">Baudelaire, </w:t>
      </w:r>
      <w:r>
        <w:rPr>
          <w:rStyle w:val="title-c"/>
        </w:rPr>
        <w:t>Les Fleurs du mal</w:t>
      </w:r>
      <w:r>
        <w:rPr/>
        <w:t xml:space="preserve">. (</w:t>
      </w:r>
      <w:r>
        <w:rPr>
          <w:rStyle w:val="title-c"/>
        </w:rPr>
        <w:t>Bénédiction</w:t>
      </w:r>
      <w:r>
        <w:rPr/>
        <w:t xml:space="preserve"> ; </w:t>
      </w:r>
      <w:r>
        <w:rPr>
          <w:rStyle w:val="title-c"/>
        </w:rPr>
        <w:t>La Muse vénale</w:t>
      </w:r>
      <w:r>
        <w:rPr/>
        <w:t xml:space="preserve">).</w:t>
      </w:r>
    </w:p>
  </w:footnote>
  <w:footnote w:id="8">
    <w:p>
      <w:pPr>
        <w:pStyle w:val="Notedebasdepage"/>
      </w:pPr>
      <w:r>
        <w:rPr>
          <w:rStyle w:val="Appelnotedebasdep"/>
        </w:rPr>
        <w:footnoteRef/>
        <w:t xml:space="preserve"> </w:t>
      </w:r>
      <w:r>
        <w:rPr/>
        <w:t xml:space="preserve">Cette impertinente épithète est de Stendhal, qui pas plus que Baudelaire n’entendait rien au commerce des lettres. </w:t>
      </w:r>
      <w:r>
        <w:rPr>
          <w:rStyle w:val="quote"/>
        </w:rPr>
        <w:t xml:space="preserve">« L’Edinburgh Review, écrit-il, s’est complètement trompé en faisant de Lamartine le poète du parti ultra… le véritable poète du parti, c’est M. Hugo. Ce M. Hugo a un talent dans le genre de celui de Young, l’auteur des Night Thoughts, il est toujours exagéré à froid… L’on ne peut nier au surplus, qu’il sache bien faire des vers français, malheureusement il est somnifère. »</w:t>
      </w:r>
      <w:r>
        <w:t xml:space="preserve"> </w:t>
      </w:r>
      <w:r>
        <w:rPr>
          <w:rStyle w:val="title-c"/>
        </w:rPr>
        <w:t>Correspondance inédite de Stendhal</w:t>
      </w:r>
      <w:r>
        <w:rPr/>
        <w:t xml:space="preserve">. Vol. I. 22.</w:t>
      </w:r>
    </w:p>
  </w:footnote>
  <w:footnote w:id="9">
    <w:p>
      <w:pPr>
        <w:pStyle w:val="Notedebasdepage"/>
      </w:pPr>
      <w:r>
        <w:rPr>
          <w:rStyle w:val="Appelnotedebasdep"/>
        </w:rPr>
        <w:footnoteRef/>
        <w:t xml:space="preserve"> </w:t>
      </w:r>
      <w:r>
        <w:rPr>
          <w:rStyle w:val="title-c"/>
        </w:rPr>
        <w:t>Victor Hugo rac.</w:t>
      </w:r>
      <w:r>
        <w:rPr/>
        <w:t xml:space="preserve"> Vol. 1. 252.</w:t>
      </w:r>
    </w:p>
  </w:footnote>
  <w:footnote w:id="10">
    <w:p>
      <w:pPr>
        <w:pStyle w:val="Notedebasdepage"/>
      </w:pPr>
      <w:r>
        <w:rPr>
          <w:rStyle w:val="Appelnotedebasdep"/>
        </w:rPr>
        <w:footnoteRef/>
        <w:t xml:space="preserve"> </w:t>
      </w:r>
      <w:r>
        <w:rPr>
          <w:rStyle w:val="title-c"/>
        </w:rPr>
        <w:t>Victor Hugo rac.</w:t>
      </w:r>
      <w:r>
        <w:rPr/>
        <w:t xml:space="preserve"> Vol. I.</w:t>
      </w:r>
    </w:p>
  </w:footnote>
  <w:footnote w:id="11">
    <w:p>
      <w:pPr>
        <w:pStyle w:val="Notedebasdepage"/>
      </w:pPr>
      <w:r>
        <w:rPr>
          <w:rStyle w:val="Appelnotedebasdep"/>
        </w:rPr>
        <w:footnoteRef/>
        <w:t xml:space="preserve"> </w:t>
      </w:r>
      <w:r>
        <w:rPr>
          <w:rStyle w:val="title-c"/>
        </w:rPr>
        <w:t>Victor Hugo rac.</w:t>
      </w:r>
      <w:r>
        <w:rPr/>
        <w:t xml:space="preserve"> Vol. I.</w:t>
      </w:r>
    </w:p>
  </w:footnote>
  <w:footnote w:id="12">
    <w:p>
      <w:pPr>
        <w:pStyle w:val="Notedebasdepage"/>
      </w:pPr>
      <w:r>
        <w:rPr>
          <w:rStyle w:val="Appelnotedebasdep"/>
        </w:rPr>
        <w:footnoteRef/>
        <w:t xml:space="preserve"> </w:t>
      </w:r>
      <w:r>
        <w:rPr/>
        <w:t xml:space="preserve">Pièce de vers </w:t>
      </w:r>
      <w:r>
        <w:rPr>
          <w:rStyle w:val="title-c"/>
        </w:rPr>
        <w:t>Sur le bonheur de l’Étude</w:t>
      </w:r>
      <w:r>
        <w:rPr/>
        <w:t xml:space="preserve">, envoyé au concours de poésie de 1817 : tout lui devenait occasion pour outrager son héros.</w:t>
      </w:r>
    </w:p>
  </w:footnote>
  <w:footnote w:id="13">
    <w:p>
      <w:pPr>
        <w:pStyle w:val="Notedebasdepage"/>
      </w:pPr>
      <w:r>
        <w:rPr>
          <w:rStyle w:val="Appelnotedebasdep"/>
        </w:rPr>
        <w:footnoteRef/>
        <w:t xml:space="preserve"> </w:t>
      </w:r>
      <w:r>
        <w:rPr>
          <w:rStyle w:val="title-c"/>
        </w:rPr>
        <w:t>Odes et Ballades</w:t>
      </w:r>
      <w:r>
        <w:rPr/>
        <w:t xml:space="preserve">. </w:t>
      </w:r>
      <w:r>
        <w:rPr>
          <w:rStyle w:val="title-c"/>
        </w:rPr>
        <w:t>Les deux Îles</w:t>
      </w:r>
      <w:r>
        <w:rPr/>
        <w:t xml:space="preserve">. Édit. de 1826.</w:t>
      </w:r>
    </w:p>
  </w:footnote>
  <w:footnote w:id="14">
    <w:p>
      <w:pPr>
        <w:pStyle w:val="Notedebasdepage"/>
      </w:pPr>
      <w:r>
        <w:rPr>
          <w:rStyle w:val="Appelnotedebasdep"/>
        </w:rPr>
        <w:footnoteRef/>
        <w:t xml:space="preserve"> </w:t>
      </w:r>
      <w:r>
        <w:rPr/>
        <w:t xml:space="preserve">Les amateurs d’acrobatie politique trouveront dans le </w:t>
      </w:r>
      <w:r>
        <w:rPr>
          <w:rStyle w:val="title-c"/>
        </w:rPr>
        <w:t>Dictionnaire des Girouettes</w:t>
      </w:r>
      <w:r>
        <w:rPr/>
        <w:t xml:space="preserve"> de Prosny d’Eppe et dans le </w:t>
      </w:r>
      <w:r>
        <w:rPr>
          <w:rStyle w:val="title-c"/>
        </w:rPr>
        <w:t>Nouveau Dictionnaire des Girouettes de 1831</w:t>
      </w:r>
      <w:r>
        <w:rPr/>
        <w:t xml:space="preserve">, de quoi exciter leur admiration la plus exigeante. Ils s’étonneront avec Chateaubriand </w:t>
      </w:r>
      <w:r>
        <w:rPr>
          <w:rStyle w:val="quote"/>
        </w:rPr>
        <w:t xml:space="preserve">« qu’il y ait des hommes, qui après avoir prêté serment à la République une et indivisible, au Directoire en cinq personnes, au Consulat en trois, à l’Empire en une seule, à la première Restauration, à l’acte additionnel, à la seconde Restauration, ont encore quelque chose à prêter à Louis-Philippe »</w:t>
      </w:r>
      <w:r>
        <w:rPr/>
        <w:t xml:space="preserve">.</w:t>
      </w:r>
    </w:p>
    <w:p>
      <w:pPr>
        <w:pStyle w:val="Notedebasdepage"/>
      </w:pPr>
      <w:r>
        <w:rPr/>
        <w:t xml:space="preserve">— « Hé, hé, disait en souriant Talleyrand, après avoir prêté serment à Louis-Philippe, Sire, c’est le treizième ! »</w:t>
      </w:r>
    </w:p>
  </w:footnote>
  <w:footnote w:id="15">
    <w:p>
      <w:pPr>
        <w:pStyle w:val="Notedebasdepage"/>
      </w:pPr>
      <w:r>
        <w:rPr>
          <w:rStyle w:val="Appelnotedebasdep"/>
        </w:rPr>
        <w:footnoteRef/>
        <w:t xml:space="preserve"> </w:t>
      </w:r>
      <w:r>
        <w:rPr>
          <w:rStyle w:val="title-c"/>
        </w:rPr>
        <w:t>Mémoire sur les moyens de suppléer à la traite des nègres par des individus libres, d’une manière qui garantisse pour l’avenir la sûreté des colons et la dépendance des colonies</w:t>
      </w:r>
      <w:r>
        <w:rPr/>
        <w:t xml:space="preserve">, par Genty, in-8, janvier 1818. Blois, imprimerie Verdier.</w:t>
      </w:r>
    </w:p>
  </w:footnote>
  <w:footnote w:id="16">
    <w:p>
      <w:pPr>
        <w:pStyle w:val="Notedebasdepage"/>
      </w:pPr>
      <w:r>
        <w:rPr>
          <w:rStyle w:val="Appelnotedebasdep"/>
        </w:rPr>
        <w:footnoteRef/>
        <w:t xml:space="preserve"> </w:t>
      </w:r>
      <w:r>
        <w:rPr/>
        <w:t xml:space="preserve">Monsieur Belton qui a fait des recherches sur la famille Hugo, a découvert que le vieux général écrivait et rimait en diable. À sa mort il a laissé une liste de manuscrits : </w:t>
      </w:r>
      <w:r>
        <w:rPr>
          <w:rStyle w:val="title-c"/>
        </w:rPr>
        <w:t>La Duchesse d’Alba</w:t>
      </w:r>
      <w:r>
        <w:rPr/>
        <w:t xml:space="preserve">, </w:t>
      </w:r>
      <w:r>
        <w:rPr>
          <w:rStyle w:val="title-c"/>
        </w:rPr>
        <w:t>le Tambour Robin</w:t>
      </w:r>
      <w:r>
        <w:rPr/>
        <w:t xml:space="preserve">, </w:t>
      </w:r>
      <w:r>
        <w:rPr>
          <w:rStyle w:val="title-c"/>
        </w:rPr>
        <w:t>l’Hermite du lac</w:t>
      </w:r>
      <w:r>
        <w:rPr/>
        <w:t xml:space="preserve">, </w:t>
      </w:r>
      <w:r>
        <w:rPr>
          <w:rStyle w:val="title-c"/>
        </w:rPr>
        <w:t>l’Épée de Brennus</w:t>
      </w:r>
      <w:r>
        <w:rPr/>
        <w:t xml:space="preserve">, </w:t>
      </w:r>
      <w:r>
        <w:rPr>
          <w:rStyle w:val="title-c"/>
        </w:rPr>
        <w:t>Perrine ou la Nouvelle Nina</w:t>
      </w:r>
      <w:r>
        <w:rPr/>
        <w:t xml:space="preserve">, </w:t>
      </w:r>
      <w:r>
        <w:rPr>
          <w:rStyle w:val="title-c"/>
        </w:rPr>
        <w:t>l’Intrigue de cour</w:t>
      </w:r>
      <w:r>
        <w:rPr/>
        <w:t xml:space="preserve">, comédie en trois actes, </w:t>
      </w:r>
      <w:r>
        <w:rPr>
          <w:rStyle w:val="title-c"/>
        </w:rPr>
        <w:t>la Permission</w:t>
      </w:r>
      <w:r>
        <w:rPr/>
        <w:t xml:space="preserve">, </w:t>
      </w:r>
      <w:r>
        <w:rPr>
          <w:rStyle w:val="title-c"/>
        </w:rPr>
        <w:t>Joseph ou l’Enfant trouvé</w:t>
      </w:r>
      <w:r>
        <w:rPr/>
        <w:t xml:space="preserve">, etc., ces ouvrages sont perdus ou égarés.</w:t>
      </w:r>
    </w:p>
    <w:p>
      <w:pPr>
        <w:pStyle w:val="Notedebasdepage"/>
      </w:pPr>
      <w:r>
        <w:rPr/>
        <w:t xml:space="preserve">Bien que Victor Hugo ne mentionne jamais les productions poétiques et romantiques de son père, il les admirait beaucoup. Dans une lettre adressée au général, et citée par M. Belton, il parle d’une pièce qui l’a </w:t>
      </w:r>
      <w:r>
        <w:rPr>
          <w:rStyle w:val="quote"/>
        </w:rPr>
        <w:t xml:space="preserve">« pénétré jusqu’au fond de l’âme »</w:t>
      </w:r>
      <w:r>
        <w:rPr/>
        <w:t xml:space="preserve">, dans une autre, il mentionne un poème, </w:t>
      </w:r>
      <w:r>
        <w:rPr>
          <w:rStyle w:val="title-c"/>
        </w:rPr>
        <w:t>Lucifer</w:t>
      </w:r>
      <w:r>
        <w:rPr/>
        <w:t xml:space="preserve">, qui l’a </w:t>
      </w:r>
      <w:r>
        <w:rPr>
          <w:rStyle w:val="quote"/>
        </w:rPr>
        <w:t xml:space="preserve">« transporté »</w:t>
      </w:r>
      <w:r>
        <w:rPr/>
        <w:t xml:space="preserve">. Si l’on ne connaissait sa piété filiale, on s’étonnerait qu’il ne se soit jamais occupé de sauver de l’oubli les œuvres « remarquables » de son père, lui qui a recueilli et si précieusement conservé ses moindres excréments littéraires, que pour leur péché d’hugolâtrie, Messieurs Vacquerie, Meurice et Lefebvre sont condamnés à publier, sinon à lire.</w:t>
      </w:r>
    </w:p>
  </w:footnote>
  <w:footnote w:id="17">
    <w:p>
      <w:pPr>
        <w:pStyle w:val="Notedebasdepage"/>
      </w:pPr>
      <w:r>
        <w:rPr>
          <w:rStyle w:val="Appelnotedebasdep"/>
        </w:rPr>
        <w:footnoteRef/>
        <w:t xml:space="preserve"> </w:t>
      </w:r>
      <w:r>
        <w:rPr/>
        <w:t xml:space="preserve">Victor Hugo. </w:t>
      </w:r>
      <w:r>
        <w:rPr>
          <w:rStyle w:val="title-c"/>
        </w:rPr>
        <w:t>Philosophie et littérature mêlées</w:t>
      </w:r>
      <w:r>
        <w:rPr/>
        <w:t xml:space="preserve">. 1834. Journal d’un révolutionnaire de 1830.</w:t>
      </w:r>
    </w:p>
  </w:footnote>
  <w:footnote w:id="18">
    <w:p>
      <w:pPr>
        <w:pStyle w:val="Notedebasdepage"/>
      </w:pPr>
      <w:r>
        <w:rPr>
          <w:rStyle w:val="Appelnotedebasdep"/>
        </w:rPr>
        <w:footnoteRef/>
        <w:t xml:space="preserve"> </w:t>
      </w:r>
      <w:r>
        <w:rPr/>
        <w:t xml:space="preserve">Victor Hugo. </w:t>
      </w:r>
      <w:r>
        <w:rPr>
          <w:rStyle w:val="title-c"/>
        </w:rPr>
        <w:t>Le Rhin</w:t>
      </w:r>
      <w:r>
        <w:rPr/>
        <w:t xml:space="preserve">. Tom. III. 288, 331.</w:t>
      </w:r>
    </w:p>
  </w:footnote>
  <w:footnote w:id="19">
    <w:p>
      <w:pPr>
        <w:pStyle w:val="Notedebasdepage"/>
      </w:pPr>
      <w:r>
        <w:rPr>
          <w:rStyle w:val="Appelnotedebasdep"/>
        </w:rPr>
        <w:footnoteRef/>
        <w:t xml:space="preserve"> </w:t>
      </w:r>
      <w:r>
        <w:rPr/>
        <w:t xml:space="preserve">Ces détails biographiques, que par une modestie déplacée, Victor Hugo supprima dans l’autobiographie, qu’il dicta à sa femme, ont été rétablis dans l’étude si érudite et si spirituellement écrite de M. Ed. Biré, </w:t>
      </w:r>
      <w:r>
        <w:rPr>
          <w:rStyle w:val="title-c"/>
        </w:rPr>
        <w:t>Victor Hugo avant 1830</w:t>
      </w:r>
      <w:r>
        <w:rPr/>
        <w:t xml:space="preserve">, J. Gervais, édit. 1883. On ne saurait trop en recommander la lecture aux Hugolâtres qui désirent connaître intimement leur héros.</w:t>
      </w:r>
    </w:p>
  </w:footnote>
  <w:footnote w:id="20">
    <w:p>
      <w:pPr>
        <w:pStyle w:val="Notedebasdepage"/>
      </w:pPr>
      <w:r>
        <w:rPr>
          <w:rStyle w:val="Appelnotedebasdep"/>
        </w:rPr>
        <w:footnoteRef/>
        <w:t xml:space="preserve"> </w:t>
      </w:r>
      <w:r>
        <w:rPr/>
        <w:t xml:space="preserve">Cette fraternité pleurarde de crocodile reprocha à un poète qui ne se dégrada jamais jusqu’à pincer de la guitare philanthropique, à Alfred de Musset, d’avoir envoyé « aux victimes de juin » un prix de 1 300 francs que venait de lui accorder l’Académie. L’</w:t>
      </w:r>
      <w:r>
        <w:rPr>
          <w:rStyle w:val="title-c"/>
        </w:rPr>
        <w:t>Événement</w:t>
      </w:r>
      <w:r>
        <w:rPr/>
        <w:t xml:space="preserve"> du 23 août commentait ainsi l’acte : </w:t>
      </w:r>
      <w:r>
        <w:rPr>
          <w:rStyle w:val="quote"/>
        </w:rPr>
        <w:t xml:space="preserve">« qu’il nous soit permis de faire observer à M. de Musset que sa détermination ne remplit nullement le but du legs fait par M. le comte de Latour-Landry. C’était à un poète peu favorisé de la fortune et non à une œuvre patriotique que le don devait appartenir »</w:t>
      </w:r>
      <w:r>
        <w:rPr/>
        <w:t xml:space="preserve">.</w:t>
      </w:r>
    </w:p>
  </w:footnote>
  <w:footnote w:id="21">
    <w:p>
      <w:pPr>
        <w:pStyle w:val="Notedebasdepage"/>
      </w:pPr>
      <w:r>
        <w:rPr>
          <w:rStyle w:val="Appelnotedebasdep"/>
        </w:rPr>
        <w:footnoteRef/>
        <w:t xml:space="preserve"> </w:t>
      </w:r>
      <w:r>
        <w:rPr>
          <w:rStyle w:val="title-c"/>
        </w:rPr>
        <w:t>Victor Hugo raconté</w:t>
      </w:r>
      <w:r>
        <w:rPr/>
        <w:t xml:space="preserve">, etc. Tome II.</w:t>
      </w:r>
    </w:p>
  </w:footnote>
  <w:footnote w:id="22">
    <w:p>
      <w:pPr>
        <w:pStyle w:val="Notedebasdepage"/>
      </w:pPr>
      <w:r>
        <w:rPr>
          <w:rStyle w:val="Appelnotedebasdep"/>
        </w:rPr>
        <w:footnoteRef/>
        <w:t xml:space="preserve"> </w:t>
      </w:r>
      <w:r>
        <w:rPr/>
        <w:t xml:space="preserve">[NdE] Orthographié </w:t>
      </w:r>
      <w:r>
        <w:rPr>
          <w:rStyle w:val="quote"/>
        </w:rPr>
        <w:t xml:space="preserve">Babœuf.</w:t>
      </w:r>
    </w:p>
  </w:footnote>
  <w:footnote w:id="23">
    <w:p>
      <w:pPr>
        <w:pStyle w:val="Notedebasdepage"/>
      </w:pPr>
      <w:r>
        <w:rPr>
          <w:rStyle w:val="Appelnotedebasdep"/>
        </w:rPr>
        <w:footnoteRef/>
        <w:t xml:space="preserve"> </w:t>
      </w:r>
      <w:r>
        <w:rPr>
          <w:rStyle w:val="quote"/>
        </w:rPr>
        <w:t xml:space="preserve">« Plus bas que Marat, plus bas de Babeuf, il y a la dernière sape et de cette cave sort Lacenaire. »</w:t>
      </w:r>
      <w:r>
        <w:rPr>
          <w:rStyle w:val="title-c"/>
        </w:rPr>
        <w:t>Les Misérables</w:t>
      </w:r>
      <w:r>
        <w:rPr/>
        <w:t xml:space="preserve">. Tome VI, page 61-62, première édition.</w:t>
      </w:r>
    </w:p>
  </w:footnote>
  <w:footnote w:id="24">
    <w:p>
      <w:pPr>
        <w:pStyle w:val="Notedebasdepage"/>
      </w:pPr>
      <w:r>
        <w:rPr>
          <w:rStyle w:val="Appelnotedebasdep"/>
        </w:rPr>
        <w:footnoteRef/>
        <w:t xml:space="preserve"> </w:t>
      </w:r>
      <w:r>
        <w:rPr/>
        <w:t xml:space="preserve">La brigande Vendéenne était une Voltairienne décidée : À Madrid, elle plaça ses enfants au collège des nobles, mais </w:t>
      </w:r>
      <w:r>
        <w:rPr>
          <w:rStyle w:val="quote"/>
        </w:rPr>
        <w:t xml:space="preserve">« s’opposa énergiquement, malgré la résistance des prêtres directeurs, à ce qu’ils servissent la messe comme les autres élèves et défendit même qu’on fît confesser et communier ses enfants »</w:t>
      </w:r>
      <w:r>
        <w:rPr/>
        <w:t xml:space="preserve">. (</w:t>
      </w:r>
      <w:r>
        <w:rPr>
          <w:rStyle w:val="title-c"/>
        </w:rPr>
        <w:t>Victor Hugo rac.</w:t>
      </w:r>
      <w:r>
        <w:rPr/>
        <w:t xml:space="preserve"> Vol. I. 194).</w:t>
      </w:r>
    </w:p>
  </w:footnote>
  <w:footnote w:id="25">
    <w:p>
      <w:pPr>
        <w:pStyle w:val="Notedebasdepage"/>
      </w:pPr>
      <w:r>
        <w:rPr>
          <w:rStyle w:val="Appelnotedebasdep"/>
        </w:rPr>
        <w:footnoteRef/>
        <w:t xml:space="preserve"> </w:t>
      </w:r>
      <w:r>
        <w:rPr/>
        <w:t xml:space="preserve">Dans une épître en vers de 1818, mais publiée en 1863, Hugo dit en parlant de lui-même : </w:t>
      </w:r>
      <w:r>
        <w:rPr>
          <w:rStyle w:val="quote"/>
        </w:rPr>
        <w:t xml:space="preserve">« … J’ai seize ans… Je lis l’Esprit des lois et j’admire Voltaire. »</w:t>
      </w:r>
      <w:r>
        <w:rPr/>
        <w:t xml:space="preserve"> (</w:t>
      </w:r>
      <w:r>
        <w:rPr>
          <w:rStyle w:val="title-c"/>
        </w:rPr>
        <w:t>Victor Hugo rac.</w:t>
      </w:r>
      <w:r>
        <w:rPr/>
        <w:t xml:space="preserve"> Tome I. 308).</w:t>
      </w:r>
    </w:p>
  </w:footnote>
  <w:footnote w:id="26">
    <w:p>
      <w:pPr>
        <w:pStyle w:val="Notedebasdepage"/>
      </w:pPr>
      <w:r>
        <w:rPr>
          <w:rStyle w:val="Appelnotedebasdep"/>
        </w:rPr>
        <w:footnoteRef/>
        <w:t xml:space="preserve"> </w:t>
      </w:r>
      <w:r>
        <w:rPr>
          <w:rStyle w:val="quote"/>
        </w:rPr>
        <w:t xml:space="preserve">« Le Poète est lui-même un trépied. Il est le trépied de Dieu. »</w:t>
      </w:r>
      <w:r>
        <w:rPr>
          <w:rStyle w:val="title-c"/>
        </w:rPr>
        <w:t>William Shakespeare</w:t>
      </w:r>
      <w:r>
        <w:rPr/>
        <w:t xml:space="preserve">, par V. Hugo, p. 53.</w:t>
      </w:r>
    </w:p>
  </w:footnote>
  <w:footnote w:id="27">
    <w:p>
      <w:pPr>
        <w:pStyle w:val="Notedebasdepage"/>
      </w:pPr>
      <w:r>
        <w:rPr>
          <w:rStyle w:val="Appelnotedebasdep"/>
        </w:rPr>
        <w:footnoteRef/>
        <w:t xml:space="preserve"> </w:t>
      </w:r>
      <w:r>
        <w:rPr>
          <w:rStyle w:val="quote"/>
        </w:rPr>
        <w:t xml:space="preserve">« Rien ne se pénètre, ne s’amalgame plus aisément qu’un vieux prêtre et un vieux soldat. Au fond c’est le même homme. L’un s’est dévoué pour la patrie d’en bas ; l’autre pour la patrie d’en haut ; pas d’autre différence. »</w:t>
      </w:r>
      <w:r>
        <w:rPr/>
        <w:t xml:space="preserve"> (</w:t>
      </w:r>
      <w:r>
        <w:rPr>
          <w:rStyle w:val="title-c"/>
        </w:rPr>
        <w:t>Les Misérables</w:t>
      </w:r>
      <w:r>
        <w:rPr/>
        <w:t xml:space="preserve">).</w:t>
      </w:r>
    </w:p>
    <w:p>
      <w:pPr>
        <w:pStyle w:val="Notedebasdepage"/>
      </w:pPr>
      <w:r>
        <w:rPr>
          <w:rStyle w:val="quote"/>
        </w:rPr>
        <w:t xml:space="preserve">« Il n’y a pas d’œuvre plus sublime, peut-être, que celle que font ces âmes (les religieuses). Et nous ajoutons : il n’y a pas de travail plus utile. Il faut ceux qui prient pour ceux qui ne prient jamais. »</w:t>
      </w:r>
      <w:r>
        <w:rPr/>
        <w:t xml:space="preserve"> (</w:t>
      </w:r>
      <w:r>
        <w:rPr>
          <w:rStyle w:val="title-c"/>
        </w:rPr>
        <w:t>Les Misérables</w:t>
      </w:r>
      <w:r>
        <w:rPr/>
        <w:t xml:space="preserve">). Victor Hugo a eu l’heureuse chance d’être beaucoup acheté, ce à quoi il tenait surtout, et d’être peu lu, il le sera de moins en moins, autrement il y aurait beau jour que le </w:t>
      </w:r>
      <w:r>
        <w:rPr>
          <w:rStyle w:val="title-c"/>
        </w:rPr>
        <w:t>Siècle</w:t>
      </w:r>
      <w:r>
        <w:rPr/>
        <w:t xml:space="preserve"> et Léo Taxil auraient été forcés de le laisser pour compte aux catholiques.</w:t>
      </w:r>
    </w:p>
  </w:footnote>
  <w:footnote w:id="28">
    <w:p>
      <w:pPr>
        <w:pStyle w:val="Notedebasdepage"/>
      </w:pPr>
      <w:r>
        <w:rPr>
          <w:rStyle w:val="Appelnotedebasdep"/>
        </w:rPr>
        <w:footnoteRef/>
        <w:t xml:space="preserve"> </w:t>
      </w:r>
      <w:r>
        <w:rPr/>
        <w:t xml:space="preserve">[NdE] Orthographié Gœthe.</w:t>
      </w:r>
    </w:p>
  </w:footnote>
  <w:footnote w:id="29">
    <w:p>
      <w:pPr>
        <w:pStyle w:val="Notedebasdepage"/>
      </w:pPr>
      <w:r>
        <w:rPr>
          <w:rStyle w:val="Appelnotedebasdep"/>
        </w:rPr>
        <w:footnoteRef/>
        <w:t xml:space="preserve"> </w:t>
      </w:r>
      <w:r>
        <w:rPr/>
        <w:t xml:space="preserve">[NdE] Orthographié Lafontaine.</w:t>
      </w:r>
    </w:p>
  </w:footnote>
  <w:footnote w:id="30">
    <w:p>
      <w:pPr>
        <w:pStyle w:val="Notedebasdepage"/>
      </w:pPr>
      <w:r>
        <w:rPr>
          <w:rStyle w:val="Appelnotedebasdep"/>
        </w:rPr>
        <w:footnoteRef/>
        <w:t xml:space="preserve"> </w:t>
      </w:r>
      <w:r>
        <w:rPr/>
        <w:t xml:space="preserve">[NdE] Orthographié Illiade.</w:t>
      </w:r>
    </w:p>
  </w:footnote>
  <w:footnote w:id="31">
    <w:p>
      <w:pPr>
        <w:pStyle w:val="Notedebasdepage"/>
      </w:pPr>
      <w:r>
        <w:rPr>
          <w:rStyle w:val="Appelnotedebasdep"/>
        </w:rPr>
        <w:footnoteRef/>
        <w:t xml:space="preserve"> </w:t>
      </w:r>
      <w:r>
        <w:rPr/>
        <w:t xml:space="preserve">Victor Hugo. </w:t>
      </w:r>
      <w:r>
        <w:rPr>
          <w:rStyle w:val="title-c"/>
        </w:rPr>
        <w:t>Philosophie et littérature mêlées</w:t>
      </w:r>
      <w:r>
        <w:rPr/>
        <w:t xml:space="preserve">, 1831, p. 27-49-50-51.</w:t>
      </w:r>
    </w:p>
  </w:footnote>
  <w:footnote w:id="32">
    <w:p>
      <w:pPr>
        <w:pStyle w:val="Notedebasdepage"/>
      </w:pPr>
      <w:r>
        <w:rPr>
          <w:rStyle w:val="Appelnotedebasdep"/>
        </w:rPr>
        <w:footnoteRef/>
        <w:t xml:space="preserve"> </w:t>
      </w:r>
      <w:r>
        <w:rPr/>
        <w:t xml:space="preserve">[NdE] Orthographié Dalembert.</w:t>
      </w:r>
    </w:p>
  </w:footnote>
  <w:footnote w:id="33">
    <w:p>
      <w:pPr>
        <w:pStyle w:val="Notedebasdepage"/>
      </w:pPr>
      <w:r>
        <w:rPr>
          <w:rStyle w:val="Appelnotedebasdep"/>
        </w:rPr>
        <w:footnoteRef/>
        <w:t xml:space="preserve"> </w:t>
      </w:r>
      <w:r>
        <w:rPr/>
        <w:t xml:space="preserve">Un bout de conversation saisi au vol dans la foule du premier juin :</w:t>
      </w:r>
    </w:p>
    <w:p>
      <w:pPr>
        <w:pStyle w:val="Notedebasdepage"/>
      </w:pPr>
      <w:r>
        <w:rPr>
          <w:i/>
        </w:rPr>
        <w:t xml:space="preserve">Premier bourgeois</w:t>
      </w:r>
      <w:r>
        <w:rPr/>
        <w:t xml:space="preserve">. — Hugo, devait être diantrement riche pour que l’État lui fasse de telles funérailles : ce n’est pas pour un génie pauvre qu’il ferait tant de dépenses.</w:t>
      </w:r>
    </w:p>
    <w:p>
      <w:pPr>
        <w:pStyle w:val="Notedebasdepage"/>
      </w:pPr>
      <w:r>
        <w:rPr>
          <w:i/>
        </w:rPr>
        <w:t xml:space="preserve">Deuxième bourgeois</w:t>
      </w:r>
      <w:r>
        <w:rPr/>
        <w:t xml:space="preserve">. — Vous avez bien raison. Il laisse, dit-on, cinq millions.</w:t>
      </w:r>
    </w:p>
    <w:p>
      <w:pPr>
        <w:pStyle w:val="Notedebasdepage"/>
      </w:pPr>
      <w:r>
        <w:rPr>
          <w:i/>
        </w:rPr>
        <w:t xml:space="preserve">Premier bourgeois</w:t>
      </w:r>
      <w:r>
        <w:rPr/>
        <w:t xml:space="preserve">. — Mettons en trois, car on exagère toujours, et c’est bien beau. Il faut avouer qu’il était plus intelligent que les hommes de génie, qui ne savent jamais se retourner et ne laissent jamais de fortune.</w:t>
      </w:r>
    </w:p>
    <w:p>
      <w:pPr>
        <w:pStyle w:val="Notedebasdepage"/>
      </w:pPr>
      <w:r>
        <w:rPr/>
        <w:t xml:space="preserve">Le </w:t>
      </w:r>
      <w:r>
        <w:rPr>
          <w:rStyle w:val="title-c"/>
        </w:rPr>
        <w:t>Temps</w:t>
      </w:r>
      <w:r>
        <w:rPr/>
        <w:t xml:space="preserve"> du 4 septembre 1885 fournit les renseignements suivants sur la fortune de Hugo :</w:t>
      </w:r>
    </w:p>
    <w:p>
      <w:pPr>
        <w:pStyle w:val="quote"/>
      </w:pPr>
      <w:r>
        <w:rPr/>
        <w:t xml:space="preserve">« La succession liquidée de Victor Hugo s’élève approximativement à la somme de cinq millions de francs. On pourra se faire une idée de la rapidité avec laquelle s’accroissait la fortune du maître quand on saura que celui-ci réalisa, en 1884, onze cent mille francs de droits d’auteur.</w:t>
      </w:r>
    </w:p>
    <w:p>
      <w:pPr>
        <w:pStyle w:val="quote"/>
      </w:pPr>
      <w:r>
        <w:rPr/>
        <w:t xml:space="preserve">« Ajoutons que celui des testaments de Victor Hugo qui contient la clause d’un don de cinquante mille francs aux pauvres de Paris est tout entier écrit de sa main, qu’il est terminé et daté, </w:t>
      </w:r>
      <w:r>
        <w:rPr>
          <w:i/>
        </w:rPr>
        <w:t xml:space="preserve">mais non signé</w:t>
      </w:r>
      <w:r>
        <w:rPr/>
        <w:t xml:space="preserve">. »</w:t>
      </w:r>
    </w:p>
    <w:p>
      <w:pPr>
        <w:pStyle w:val="Notedebasdepage"/>
      </w:pPr>
      <w:r>
        <w:rPr/>
        <w:t xml:space="preserve">Donner 50 000 francs aux pauvres, même après sa mort, dépassait ce que pouvait l’âme généreuse et charitable de Victor Hugo. Au moment de signer le cœur lui manqua.</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pt6k82399t"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