
<file path=word/footnotes.xml><?xml version="1.0" encoding="utf-8"?>
<w:footnotes xmlns:w="http://schemas.openxmlformats.org/wordprocessingml/2006/main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footnote w:id="-1" w:type="separator">
    <w:p>
      <w:pPr>
        <w:spacing w:after="0" w:before="0"/>
      </w:pPr>
      <w:r>
        <w:separator/>
      </w:r>
    </w:p>
  </w:footnote>
  <w:footnote w:id="0" w:type="continuationSeparator">
    <w:p>
      <w:pPr>
        <w:spacing w:after="0" w:before="0"/>
      </w:pPr>
      <w:r>
        <w:continuationSeparator/>
      </w:r>
    </w:p>
  </w:footnote>
  <w:footnote w:id="1">
    <w:p>
      <w:pPr>
        <w:pStyle w:val="Notedebasdepage"/>
      </w:pPr>
      <w:r>
        <w:rPr>
          <w:rStyle w:val="Appelnotedebasdep"/>
        </w:rPr>
        <w:footnoteRef/>
        <w:t xml:space="preserve"> </w:t>
      </w:r>
      <w:r>
        <w:rPr/>
        <w:t xml:space="preserve">A. Morellet, </w:t>
      </w:r>
      <w:r>
        <w:rPr>
          <w:rStyle w:val="title-c"/>
        </w:rPr>
        <w:t>Observations critiques sur le roman
                  intitulé Atala</w:t>
      </w:r>
      <w:r>
        <w:rPr/>
        <w:t xml:space="preserve">, Paris, an IX.</w:t>
      </w:r>
    </w:p>
  </w:footnote>
  <w:footnote w:id="2">
    <w:p>
      <w:pPr>
        <w:pStyle w:val="Notedebasdepage"/>
      </w:pPr>
      <w:r>
        <w:rPr>
          <w:rStyle w:val="Appelnotedebasdep"/>
        </w:rPr>
        <w:footnoteRef/>
        <w:t xml:space="preserve"> </w:t>
      </w:r>
      <w:r>
        <w:rPr>
          <w:rStyle w:val="title-c"/>
        </w:rPr>
        <w:t>Mémoires d’outre-tombe</w:t>
      </w:r>
      <w:r>
        <w:rPr/>
        <w:t xml:space="preserve">. Sainte-Beuve remarque que René est un des prénoms de Chateaubriand : afin d’achever le portrait de René Chateaubriand, j’ai puisé dans ses autres écrits. Les passages entre guillemets, sans indications, sont extraits de l’édition d’</w:t>
      </w:r>
      <w:r>
        <w:rPr>
          <w:rStyle w:val="title-c"/>
        </w:rPr>
        <w:t>Atala</w:t>
      </w:r>
      <w:r>
        <w:rPr/>
        <w:t xml:space="preserve"> et de </w:t>
      </w:r>
      <w:r>
        <w:rPr>
          <w:rStyle w:val="title-c"/>
        </w:rPr>
        <w:t>René</w:t>
      </w:r>
      <w:r>
        <w:rPr/>
        <w:t xml:space="preserve">, de Garnier frères.</w:t>
      </w:r>
    </w:p>
  </w:footnote>
  <w:footnote w:id="3">
    <w:p>
      <w:pPr>
        <w:pStyle w:val="Notedebasdepage"/>
      </w:pPr>
      <w:r>
        <w:rPr>
          <w:rStyle w:val="Appelnotedebasdep"/>
        </w:rPr>
        <w:footnoteRef/>
        <w:t xml:space="preserve"> </w:t>
      </w:r>
      <w:r>
        <w:rPr/>
        <w:t xml:space="preserve">A. de Musset, </w:t>
      </w:r>
      <w:r>
        <w:rPr>
          <w:rStyle w:val="title-c"/>
        </w:rPr>
        <w:t>Premières poésies</w:t>
      </w:r>
      <w:r>
        <w:rPr/>
        <w:t xml:space="preserve">. Les vœux stériles.</w:t>
      </w:r>
    </w:p>
  </w:footnote>
  <w:footnote w:id="4">
    <w:p>
      <w:pPr>
        <w:pStyle w:val="Notedebasdepage"/>
      </w:pPr>
      <w:r>
        <w:rPr>
          <w:rStyle w:val="Appelnotedebasdep"/>
        </w:rPr>
        <w:footnoteRef/>
        <w:t xml:space="preserve"> </w:t>
      </w:r>
      <w:r>
        <w:rPr/>
        <w:t xml:space="preserve">Ces détails prosaïques qui déparent mais qui expliquent le poétique et mélancolique René, sont puisés dans l’</w:t>
      </w:r>
      <w:r>
        <w:rPr>
          <w:rStyle w:val="title-c"/>
        </w:rPr>
        <w:t>Essai
                historique, politique et moral sur les révolutions</w:t>
      </w:r>
      <w:r>
        <w:rPr/>
        <w:t xml:space="preserve">, etc., écrit à Londres et imprimé en 1797. Chateaubriand, dans ce premier ouvrage, se révèle plus naïvement que dans aucun autre de ses écrits. Sainte-Beuve possédait l’exemplaire annoté de la main de l’auteur ; comme il manque mille occasions d’exercer sa malice habituelle, en exposant les faiblesses du héros, il est à présumer qu’il l’avait lu très inattentivement.</w:t>
      </w:r>
    </w:p>
  </w:footnote>
  <w:footnote w:id="5">
    <w:p>
      <w:pPr>
        <w:pStyle w:val="Notedebasdepage"/>
      </w:pPr>
      <w:r>
        <w:rPr>
          <w:rStyle w:val="Appelnotedebasdep"/>
        </w:rPr>
        <w:footnoteRef/>
        <w:t xml:space="preserve"> </w:t>
      </w:r>
      <w:r>
        <w:rPr/>
        <w:t xml:space="preserve">Quelque temps avant l’apparition de </w:t>
      </w:r>
      <w:r>
        <w:rPr>
          <w:rStyle w:val="title-c"/>
        </w:rPr>
        <w:t>René</w:t>
      </w:r>
      <w:r>
        <w:rPr/>
        <w:t xml:space="preserve">, on avait publié, pour la première fois, </w:t>
      </w:r>
      <w:r>
        <w:rPr>
          <w:rStyle w:val="title-c"/>
        </w:rPr>
        <w:t>Jacques le fataliste</w:t>
      </w:r>
      <w:r>
        <w:rPr/>
        <w:t xml:space="preserve"> : La Harpe le régent de la littérature, — devant son opinion tout le monde se taisait, — portait ce jugement sur cette œuvre de verve et d’esprit : </w:t>
      </w:r>
      <w:r>
        <w:rPr>
          <w:rStyle w:val="quote"/>
        </w:rPr>
        <w:t xml:space="preserve">« Rapsodie insipide, aussi
                scandaleuse qu’ennuyeuse, quoique impie, plate, quoique extravagante. »</w:t>
      </w:r>
      <w:r>
        <w:t xml:space="preserve"> </w:t>
      </w:r>
      <w:r>
        <w:rPr>
          <w:rStyle w:val="title-c"/>
        </w:rPr>
        <w:t>Le fanatisme ou la persécution</w:t>
      </w:r>
      <w:r>
        <w:rPr/>
        <w:t xml:space="preserve">, etc. Œuvres complètes, t. V. 1820.</w:t>
      </w:r>
    </w:p>
  </w:footnote>
  <w:footnote w:id="6">
    <w:p>
      <w:pPr>
        <w:pStyle w:val="Notedebasdepage"/>
      </w:pPr>
      <w:r>
        <w:rPr>
          <w:rStyle w:val="Appelnotedebasdep"/>
        </w:rPr>
        <w:footnoteRef/>
        <w:t xml:space="preserve"> </w:t>
      </w:r>
      <w:r>
        <w:rPr/>
        <w:t xml:space="preserve">M</w:t>
      </w:r>
      <w:r>
        <w:rPr>
          <w:vertAlign w:val="superscript"/>
        </w:rPr>
        <w:t>me</w:t>
      </w:r>
      <w:r>
        <w:rPr/>
        <w:t xml:space="preserve"> de Staël, </w:t>
      </w:r>
      <w:r>
        <w:rPr>
          <w:rStyle w:val="title-c"/>
        </w:rPr>
        <w:t>De la littérature considérée dans ses
                  rapports avec les institutions sociales. Discours préliminaire</w:t>
      </w:r>
      <w:r>
        <w:rPr/>
        <w:t xml:space="preserve">, 1800. Dans cet ouvrage, que Taine a pillé honteusement, sans toujours comprendre la portée de ce qu’il dérobait, M</w:t>
      </w:r>
      <w:r>
        <w:rPr>
          <w:vertAlign w:val="superscript"/>
        </w:rPr>
        <w:t>me</w:t>
      </w:r>
      <w:r>
        <w:rPr/>
        <w:t xml:space="preserve"> de Staël émet des vues géniales sur l’action exercée par le milieu social pour déterminer la forme littéraire.</w:t>
      </w:r>
    </w:p>
  </w:footnote>
  <w:footnote w:id="7">
    <w:p>
      <w:pPr>
        <w:pStyle w:val="Notedebasdepage"/>
      </w:pPr>
      <w:r>
        <w:rPr>
          <w:rStyle w:val="Appelnotedebasdep"/>
        </w:rPr>
        <w:footnoteRef/>
        <w:t xml:space="preserve"> </w:t>
      </w:r>
      <w:r>
        <w:rPr/>
        <w:t xml:space="preserve">La Harpe. </w:t>
      </w:r>
      <w:r>
        <w:rPr>
          <w:rStyle w:val="title-c"/>
        </w:rPr>
        <w:t>Sur le tutoiement</w:t>
      </w:r>
      <w:r>
        <w:rPr/>
        <w:t xml:space="preserve">. Œuvres complètes, t. V.</w:t>
      </w:r>
    </w:p>
  </w:footnote>
  <w:footnote w:id="8">
    <w:p>
      <w:pPr>
        <w:pStyle w:val="Notedebasdepage"/>
      </w:pPr>
      <w:r>
        <w:rPr>
          <w:rStyle w:val="Appelnotedebasdep"/>
        </w:rPr>
        <w:footnoteRef/>
        <w:t xml:space="preserve"> </w:t>
      </w:r>
      <w:r>
        <w:rPr>
          <w:rStyle w:val="title-c"/>
        </w:rPr>
        <w:t>Mémoire d’un détenu pour servir à l’histoire
                    de la tyrannie de Robespierre</w:t>
      </w:r>
      <w:r>
        <w:rPr/>
        <w:t xml:space="preserve">, par Riousse </w:t>
      </w:r>
      <w:r>
        <w:rPr>
          <w:i/>
        </w:rPr>
        <w:t xml:space="preserve">arrêté à
                    Bordeaux par un comité révolutionnaire</w:t>
      </w:r>
      <w:r>
        <w:rPr/>
        <w:t xml:space="preserve">. Publié quelques semaines après la chute des thermidoriens.</w:t>
      </w:r>
    </w:p>
    <w:p>
      <w:pPr>
        <w:pStyle w:val="Notedebasdepage"/>
      </w:pPr>
      <w:r>
        <w:rPr/>
        <w:t xml:space="preserve">Des enfants ont hérité de cette folle terreur : le pauvre Taine a tremblé toute sa vie de la peur que son grand-père avait eue pendant la période révolutionnaire ; c’est ce qui explique la rage imbécile qui le fait déraisonner si lourdement contre la révolution : elle l’avait cependant émancipé.</w:t>
      </w:r>
    </w:p>
  </w:footnote>
  <w:footnote w:id="9">
    <w:p>
      <w:pPr>
        <w:pStyle w:val="Notedebasdepage"/>
      </w:pPr>
      <w:r>
        <w:rPr>
          <w:rStyle w:val="Appelnotedebasdep"/>
        </w:rPr>
        <w:footnoteRef/>
        <w:t xml:space="preserve"> </w:t>
      </w:r>
      <w:r>
        <w:rPr/>
        <w:t xml:space="preserve">M</w:t>
      </w:r>
      <w:r>
        <w:rPr>
          <w:vertAlign w:val="superscript"/>
        </w:rPr>
        <w:t>me</w:t>
      </w:r>
      <w:r>
        <w:rPr/>
        <w:t xml:space="preserve"> de Staël, </w:t>
      </w:r>
      <w:r>
        <w:rPr>
          <w:rStyle w:val="title-c"/>
        </w:rPr>
        <w:t>De la
                  littérature</w:t>
      </w:r>
      <w:r>
        <w:rPr/>
        <w:t xml:space="preserve">, etc. Discours préliminaire, 1</w:t>
      </w:r>
      <w:r>
        <w:rPr>
          <w:vertAlign w:val="superscript"/>
        </w:rPr>
        <w:t>re</w:t>
      </w:r>
      <w:r>
        <w:rPr/>
        <w:t xml:space="preserve"> partie, chap. XVIII, et II</w:t>
      </w:r>
      <w:r>
        <w:rPr>
          <w:vertAlign w:val="superscript"/>
        </w:rPr>
        <w:t>e</w:t>
      </w:r>
      <w:r>
        <w:rPr/>
        <w:t xml:space="preserve"> partie, chap. V.</w:t>
      </w:r>
    </w:p>
  </w:footnote>
  <w:footnote w:id="10">
    <w:p>
      <w:pPr>
        <w:pStyle w:val="Notedebasdepage"/>
      </w:pPr>
      <w:r>
        <w:rPr>
          <w:rStyle w:val="Appelnotedebasdep"/>
        </w:rPr>
        <w:footnoteRef/>
        <w:t xml:space="preserve"> </w:t>
      </w:r>
      <w:r>
        <w:rPr>
          <w:rStyle w:val="title-c"/>
        </w:rPr>
        <w:t>Raison, folie, chacun son mot : petit conte moral à la portée
                  des vieux enfants</w:t>
      </w:r>
      <w:r>
        <w:rPr/>
        <w:t xml:space="preserve">, par P. E. L. Paris, an IX. Ce pamphlet, qui n’est pas aussi drolatique que le comporterait son titre, contient un curieux exposé de la division du travail.</w:t>
      </w:r>
    </w:p>
  </w:footnote>
  <w:footnote w:id="11">
    <w:p>
      <w:pPr>
        <w:pStyle w:val="Notedebasdepage"/>
      </w:pPr>
      <w:r>
        <w:rPr>
          <w:rStyle w:val="Appelnotedebasdep"/>
        </w:rPr>
        <w:footnoteRef/>
        <w:t xml:space="preserve"> </w:t>
      </w:r>
      <w:r>
        <w:rPr/>
        <w:t xml:space="preserve">L’égoïsme est demeuré la vertu bourgeoise par excellence : il est le produit nécessaire du système économique et de la libre concurrence, qui déchaînent et entretiennent dans la société capitaliste la guerre de tous contre tous sans trêve ni merci.</w:t>
      </w:r>
    </w:p>
  </w:footnote>
  <w:footnote w:id="12">
    <w:p>
      <w:pPr>
        <w:pStyle w:val="Notedebasdepage"/>
      </w:pPr>
      <w:r>
        <w:rPr>
          <w:rStyle w:val="Appelnotedebasdep"/>
        </w:rPr>
        <w:footnoteRef/>
        <w:t xml:space="preserve"> </w:t>
      </w:r>
      <w:r>
        <w:rPr/>
        <w:t xml:space="preserve">[NdE] Orthographié Beaudelaire.</w:t>
      </w:r>
    </w:p>
  </w:footnote>
  <w:footnote w:id="13">
    <w:p>
      <w:pPr>
        <w:pStyle w:val="Notedebasdepage"/>
      </w:pPr>
      <w:r>
        <w:rPr>
          <w:rStyle w:val="Appelnotedebasdep"/>
        </w:rPr>
        <w:footnoteRef/>
        <w:t xml:space="preserve"> </w:t>
      </w:r>
      <w:r>
        <w:rPr>
          <w:rStyle w:val="title-c"/>
        </w:rPr>
        <w:t>Atala</w:t>
      </w:r>
      <w:r>
        <w:rPr/>
        <w:t xml:space="preserve">, première édition. Les éditions qui se succédèrent après son apparition sont continuellement remaniées.</w:t>
      </w:r>
    </w:p>
  </w:footnote>
  <w:footnote w:id="14">
    <w:p>
      <w:pPr>
        <w:pStyle w:val="Notedebasdepage"/>
      </w:pPr>
      <w:r>
        <w:rPr>
          <w:rStyle w:val="Appelnotedebasdep"/>
        </w:rPr>
        <w:footnoteRef/>
        <w:t xml:space="preserve"> </w:t>
      </w:r>
      <w:r>
        <w:rPr/>
        <w:t xml:space="preserve">Dans une étude sur </w:t>
      </w:r>
      <w:r>
        <w:rPr>
          <w:rStyle w:val="title-c"/>
        </w:rPr>
        <w:t>la langue française avant et après la Révolution</w:t>
      </w:r>
      <w:r>
        <w:rPr/>
        <w:t xml:space="preserve">, parue dans l’</w:t>
      </w:r>
      <w:r>
        <w:rPr>
          <w:rStyle w:val="title-c"/>
        </w:rPr>
        <w:t>Ère nouvelle</w:t>
      </w:r>
      <w:r>
        <w:rPr/>
        <w:t xml:space="preserve">, j’en ai donné de nombreux et curieux échantillons : j’y renvoie le lecteur.</w:t>
      </w:r>
    </w:p>
  </w:footnote>
  <w:footnote w:id="15">
    <w:p>
      <w:pPr>
        <w:pStyle w:val="Notedebasdepage"/>
      </w:pPr>
      <w:r>
        <w:rPr>
          <w:rStyle w:val="Appelnotedebasdep"/>
        </w:rPr>
        <w:footnoteRef/>
        <w:t xml:space="preserve"> </w:t>
      </w:r>
      <w:r>
        <w:rPr/>
        <w:t xml:space="preserve">Victor Hugo. </w:t>
      </w:r>
      <w:r>
        <w:rPr>
          <w:rStyle w:val="title-c"/>
        </w:rPr>
        <w:t>William
                  Shakespeare</w:t>
      </w:r>
      <w:r>
        <w:rPr/>
        <w:t xml:space="preserve">.</w:t>
      </w:r>
    </w:p>
  </w:footnote>
  <w:footnote w:id="16">
    <w:p>
      <w:pPr>
        <w:pStyle w:val="Notedebasdepage"/>
      </w:pPr>
      <w:r>
        <w:rPr>
          <w:rStyle w:val="Appelnotedebasdep"/>
        </w:rPr>
        <w:footnoteRef/>
        <w:t xml:space="preserve"> </w:t>
      </w:r>
      <w:r>
        <w:rPr/>
        <w:t xml:space="preserve">J.-M. Chénier, </w:t>
      </w:r>
      <w:r>
        <w:rPr>
          <w:rStyle w:val="title-c"/>
        </w:rPr>
        <w:t>Les Nouveaux
                  Saints</w:t>
      </w:r>
      <w:r>
        <w:rPr/>
        <w:t xml:space="preserve"> : cette très peu satirique satire parvenait cependant à la 5</w:t>
      </w:r>
      <w:r>
        <w:rPr>
          <w:vertAlign w:val="superscript"/>
        </w:rPr>
        <w:t>e</w:t>
      </w:r>
      <w:r>
        <w:rPr/>
        <w:t xml:space="preserve"> édition au bout de quatre mois.</w:t>
      </w:r>
    </w:p>
  </w:footnote>
  <w:footnote w:id="17">
    <w:p>
      <w:pPr>
        <w:pStyle w:val="Notedebasdepage"/>
      </w:pPr>
      <w:r>
        <w:rPr>
          <w:rStyle w:val="Appelnotedebasdep"/>
        </w:rPr>
        <w:footnoteRef/>
        <w:t xml:space="preserve"> </w:t>
      </w:r>
      <w:r>
        <w:rPr/>
        <w:t xml:space="preserve">Chateaubriand va nous dire comment les Anglais nous payaient de retour. </w:t>
      </w:r>
      <w:r>
        <w:rPr>
          <w:rStyle w:val="quote"/>
        </w:rPr>
        <w:t xml:space="preserve">« Quand nous devînmes enthousiastes de nos
                voisins, quand tout fut anglais en France, chiens, chevaux, jardins et livres, les
                Anglais, par leur instinct de haine contre nous, devinrent anti-Français ; plus nous
                nous approchions d’eux, plus ils s’éloignaient de nous. Livré à la risée publique
                sur leurs théâtres, on voyait dans toutes les parades de John Bull un Français
                maigre, en habit vert-pomme, chapeau sous le bras, jambes grêles, longue queue, air
                de danseur ou de perruquier affamé ; on le tirait par le nez et il mangeait des
                grenouilles. Un Anglais sur notre scène est toujours un milord, ou un capitaine,
                héros de sentiment et de générosité. »</w:t>
      </w:r>
      <w:r>
        <w:rPr/>
        <w:t xml:space="preserve"> Chateaubriand, </w:t>
      </w:r>
      <w:r>
        <w:rPr>
          <w:rStyle w:val="title-c"/>
        </w:rPr>
        <w:t>Essai sur la
                littérature anglaise</w:t>
      </w:r>
      <w:r>
        <w:rPr/>
        <w:t xml:space="preserve">.</w:t>
      </w:r>
    </w:p>
  </w:footnote>
  <w:footnote w:id="18">
    <w:p>
      <w:pPr>
        <w:pStyle w:val="Notedebasdepage"/>
      </w:pPr>
      <w:r>
        <w:rPr>
          <w:rStyle w:val="Appelnotedebasdep"/>
        </w:rPr>
        <w:footnoteRef/>
        <w:t xml:space="preserve"> </w:t>
      </w:r>
      <w:r>
        <w:rPr>
          <w:rStyle w:val="title-c"/>
        </w:rPr>
        <w:t>Génie du Christianisme</w:t>
      </w:r>
      <w:r>
        <w:rPr/>
        <w:t xml:space="preserve">, t. IV, p. 189, 1</w:t>
      </w:r>
      <w:r>
        <w:rPr>
          <w:vertAlign w:val="superscript"/>
        </w:rPr>
        <w:t>re</w:t>
      </w:r>
      <w:r>
        <w:rPr/>
        <w:t xml:space="preserve"> édition.</w:t>
      </w:r>
    </w:p>
  </w:footnote>
  <w:footnote w:id="19">
    <w:p>
      <w:pPr>
        <w:pStyle w:val="Notedebasdepage"/>
      </w:pPr>
      <w:r>
        <w:rPr>
          <w:rStyle w:val="Appelnotedebasdep"/>
        </w:rPr>
        <w:footnoteRef/>
        <w:t xml:space="preserve"> </w:t>
      </w:r>
      <w:r>
        <w:rPr/>
        <w:t xml:space="preserve">Volney. </w:t>
      </w:r>
      <w:r>
        <w:rPr>
          <w:rStyle w:val="title-c"/>
        </w:rPr>
        <w:t>Observations sur les Indiens de l’Amérique du Nord</w:t>
      </w:r>
      <w:r>
        <w:rPr/>
        <w:t xml:space="preserve">. Œuvres complètes t. VII.</w:t>
      </w:r>
    </w:p>
  </w:footnote>
  <w:footnote w:id="20">
    <w:p>
      <w:pPr>
        <w:pStyle w:val="Notedebasdepage"/>
      </w:pPr>
      <w:r>
        <w:rPr>
          <w:rStyle w:val="Appelnotedebasdep"/>
        </w:rPr>
        <w:footnoteRef/>
        <w:t xml:space="preserve"> </w:t>
      </w:r>
      <w:r>
        <w:rPr/>
        <w:t xml:space="preserve">[NdE] Orthographié Gœthe.</w:t>
      </w:r>
    </w:p>
  </w:footnote>
  <w:footnote w:id="21">
    <w:p>
      <w:pPr>
        <w:pStyle w:val="Notedebasdepage"/>
      </w:pPr>
      <w:r>
        <w:rPr>
          <w:rStyle w:val="Appelnotedebasdep"/>
        </w:rPr>
        <w:footnoteRef/>
        <w:t xml:space="preserve"> </w:t>
      </w:r>
      <w:r>
        <w:rPr/>
        <w:t xml:space="preserve">M</w:t>
      </w:r>
      <w:r>
        <w:rPr>
          <w:vertAlign w:val="superscript"/>
        </w:rPr>
        <w:t>me</w:t>
      </w:r>
      <w:r>
        <w:rPr/>
        <w:t xml:space="preserve"> de Staël, </w:t>
      </w:r>
      <w:r>
        <w:rPr>
          <w:rStyle w:val="title-c"/>
        </w:rPr>
        <w:t>De l’influence des passions sur le bonheur des
                  individus</w:t>
      </w:r>
      <w:r>
        <w:rPr/>
        <w:t xml:space="preserve">, 1796, édit. de 1818, p. 146-160.</w:t>
      </w:r>
    </w:p>
  </w:footnote>
  <w:footnote w:id="22">
    <w:p>
      <w:pPr>
        <w:pStyle w:val="Notedebasdepage"/>
      </w:pPr>
      <w:r>
        <w:rPr>
          <w:rStyle w:val="Appelnotedebasdep"/>
        </w:rPr>
        <w:footnoteRef/>
        <w:t xml:space="preserve"> </w:t>
      </w:r>
      <w:r>
        <w:rPr/>
        <w:t xml:space="preserve">Le Bourgeois a pris sa revanche : maintenant c’est son tour de mépriser les artistes, qui adoptent ses mœurs et ses idées, et qui singent son faste grossier et son inartistique manie de bibelots et de bric-à-brac. L’anecdote suivante est typique :</w:t>
      </w:r>
    </w:p>
    <w:p>
      <w:pPr>
        <w:pStyle w:val="Notedebasdepage"/>
      </w:pPr>
      <w:r>
        <w:rPr/>
        <w:t xml:space="preserve">La richissime M</w:t>
      </w:r>
      <w:r>
        <w:rPr>
          <w:vertAlign w:val="superscript"/>
        </w:rPr>
        <w:t>me</w:t>
      </w:r>
      <w:r>
        <w:rPr/>
        <w:t xml:space="preserve"> Mackay, qui débuta comme servante dans un bar d’une des villes minières du Colorado, ayant commandé, pour une somme fabuleuse, son portrait à Meissonier, et ne le trouvant pas à son goût, — le consciencieux artiste avait fait ressemblant, — l’accrocha dans son cabinet d’aisance.</w:t>
      </w:r>
    </w:p>
  </w:footnote>
  <w:footnote w:id="23">
    <w:p>
      <w:pPr>
        <w:pStyle w:val="Notedebasdepage"/>
      </w:pPr>
      <w:r>
        <w:rPr>
          <w:rStyle w:val="Appelnotedebasdep"/>
        </w:rPr>
        <w:footnoteRef/>
        <w:t xml:space="preserve"> </w:t>
      </w:r>
      <w:r>
        <w:rPr/>
        <w:t xml:space="preserve">Sermon prononcé à Notre-Dame, en nivôse an V, par l’abbé Audrein. Sébastien Mercier, qui fut au </w:t>
      </w:r>
      <w:r>
        <w:rPr/>
        <w:t xml:space="preserve">xviii</w:t>
      </w:r>
      <w:r>
        <w:rPr>
          <w:vertAlign w:val="superscript"/>
        </w:rPr>
        <w:t>e</w:t>
      </w:r>
      <w:r>
        <w:rPr/>
        <w:t xml:space="preserve"> siècle un des précurseurs du romantisme, introduisait à cette époque la métaphysique de Kant : son cerveau brouillé l’embrouillait et l’opposait au matérialisme des Encyclopédistes, que Royer-Collard devait définitivement remplacer par la plate philosophie du </w:t>
      </w:r>
      <w:r>
        <w:rPr>
          <w:i/>
        </w:rPr>
        <w:t xml:space="preserve">Sens commun</w:t>
      </w:r>
      <w:r>
        <w:rPr/>
        <w:t xml:space="preserve"> bourgeois, élevé à la dignité de critérium universel par le pasteur écossais Thomas Reid.</w:t>
      </w:r>
    </w:p>
  </w:footnote>
  <w:footnote w:id="24">
    <w:p>
      <w:pPr>
        <w:pStyle w:val="Notedebasdepage"/>
      </w:pPr>
      <w:r>
        <w:rPr>
          <w:rStyle w:val="Appelnotedebasdep"/>
        </w:rPr>
        <w:footnoteRef/>
        <w:t xml:space="preserve"> </w:t>
      </w:r>
      <w:r>
        <w:rPr/>
        <w:t xml:space="preserve">Victor Hugo, </w:t>
      </w:r>
      <w:r>
        <w:rPr>
          <w:rStyle w:val="title-c"/>
        </w:rPr>
        <w:t>William
                  Shakespeare</w:t>
      </w:r>
      <w:r>
        <w:rPr/>
        <w:t xml:space="preserve">.</w:t>
      </w:r>
    </w:p>
  </w:footnote>
</w:footnotes>
</file>

<file path=word/_rels/document.xml.rels><?xml version="1.0" encoding="UTF-8"?>
<Relationships xmlns="http://schemas.openxmlformats.org/package/2006/relationships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>
  <Relationship Id="rId1" Target="stylesWithEffects.xml" Type="http://schemas.microsoft.com/office/2007/relationships/stylesWithEffects"/>
  <Relationship Id="rId2" Target="endnotes.xml" Type="http://schemas.openxmlformats.org/officeDocument/2006/relationships/endnotes"/>
  <Relationship Id="rId3" Target="styles.xml" Type="http://schemas.openxmlformats.org/officeDocument/2006/relationships/styles"/>
  <Relationship Id="rId4" Target="numbering.xml" Type="http://schemas.openxmlformats.org/officeDocument/2006/relationships/numbering"/>
  <Relationship Id="rId5" Target="footnotes.xml" Type="http://schemas.openxmlformats.org/officeDocument/2006/relationships/footnotes"/>
  <Relationship Id="rId6" Target="webSettings.xml" Type="http://schemas.openxmlformats.org/officeDocument/2006/relationships/webSettings"/>
  <Relationship Id="rId7" Target="theme/theme1.xml" Type="http://schemas.openxmlformats.org/officeDocument/2006/relationships/theme"/>
  <Relationship Id="rId8" Target="settings.xml" Type="http://schemas.openxmlformats.org/officeDocument/2006/relationships/settings"/>
  <Relationship Id="rId9" Target="fontTable.xml" Type="http://schemas.openxmlformats.org/officeDocument/2006/relationships/fontTable"/>
  <Relationship Id="rId12" Target="comments.xml" Type="http://schemas.openxmlformats.org/officeDocument/2006/relationships/comments"/>
  <Relationship Target="https://gallica.bnf.fr/ark:/12148/bpt6k81760n/f579" TargetMode="External" Type="http://schemas.openxmlformats.org/officeDocument/2006/relationships/hyperlink" Id="ref1"/>
</Relationships>

</file>

<file path=word/_rels/footnotes.xml.rels><?xml version="1.0" encoding="UTF-8"?>
<Relationships xmlns="http://schemas.openxmlformats.org/package/2006/relationships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/>
</file>