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Ses plus subtils conseillers ne la comprirent pas d’ailleurs davantage. Talleyrand lui écrivait que “l’Espagne accueillerait en libérateurs ses soldats.. Elle les accueillit comme des bêtes fauves. Un psychologue, au courant des instincts héréditaires de la race, aurait pu aisément prévoir cet accueil.</w:t>
      </w:r>
    </w:p>
  </w:footnote>
  <w:footnote w:id="2">
    <w:p>
      <w:pPr>
        <w:pStyle w:val="Notedebasdepage"/>
      </w:pPr>
      <w:r>
        <w:rPr>
          <w:rStyle w:val="Appelnotedebasdep"/>
        </w:rPr>
        <w:footnoteRef/>
        <w:t xml:space="preserve"> </w:t>
      </w:r>
      <w:r>
        <w:rPr/>
        <w:t xml:space="preserve">Les rares auteurs qui se sont occupés de l’étude psychologique des foules ne les ont examinées, comme je le disais plus haut, qu’au point de vue criminel. N’ayant consacré à ce dernier sujet qu’un court chapitre de cet ouvrage, je renverrai le lecteur pour ce point spécial aux études de M. Tarde et à l’opuscule de M. Sighele : </w:t>
      </w:r>
      <w:r>
        <w:rPr>
          <w:i/>
        </w:rPr>
        <w:t xml:space="preserve">Les foules criminelles.</w:t>
      </w:r>
      <w:r>
        <w:rPr/>
        <w:t xml:space="preserve"> Ce dernier travail ne contient pas une seule idée personnelle à son auteur, mais il renferme une compilation de faits que les psychologues pourront utiliser. Mes conclusions sur la cri­minalité et la moralité des foules sont d’ailleurs tout à fait contraires à celles des deux écrivains que je viens de citer.</w:t>
      </w:r>
    </w:p>
    <w:p>
      <w:pPr>
        <w:pStyle w:val="Notedebasdepage"/>
      </w:pPr>
      <w:r>
        <w:rPr/>
        <w:t xml:space="preserve">On trouvera dans mon ouvrage, </w:t>
      </w:r>
      <w:r>
        <w:rPr>
          <w:i/>
        </w:rPr>
        <w:t xml:space="preserve">La Psychologie du Socia</w:t>
      </w:r>
      <w:r>
        <w:rPr/>
        <w:t xml:space="preserve">­lisme quelques conséquences des lois qui régissent la psychologie des foules. Ces lois trouvent d’ailleurs des applica­tions dans les sujets les plus divers. M. A. Gevaert, directeur du Conservatoire royal de Bruxelles, a donné récemment une remarquable application des lois que nous avons expo­sées dans un travail sur la musique, qualifiées très juste­ment par lui d’“art des foules”. “Ce sont vos deux ouvrages, m’écrit cet éminent professeur, en m’envoyant son mémoire, qui m’ont donné la solution d’un problème considéré aupa­ravant par moi comme insoluble : l’aptitude étonnante de toute foule à sentir une œuvre musicale récente ou ancienne, indigène ou étrangère, simple ou compliquée, pourvu qu’elle soit produite dans une belle exécution et par des exécutants dirigés par un chef enthousiaste.” M. Gevaert montre admirablement pourquoi “une œuvre restée incomprise à des musi­ciens émérites lisant la partition dans la solitude de leur cabinet. sera parfois saisie d’emblée par un auditoire étran­ger à toute culture technique”. Il montre aussi fort bien pourquoi ces impressions esthétiques ne laissent aucune trace.</w:t>
      </w:r>
    </w:p>
  </w:footnote>
  <w:footnote w:id="3">
    <w:p>
      <w:pPr>
        <w:pStyle w:val="Notedebasdepage"/>
      </w:pPr>
      <w:r>
        <w:rPr>
          <w:rStyle w:val="Appelnotedebasdep"/>
        </w:rPr>
        <w:footnoteRef/>
        <w:t xml:space="preserve"> </w:t>
      </w:r>
      <w:r>
        <w:rPr/>
        <w:t xml:space="preserve">Les personnes qui ont assisté au siège de Paris ont vu de nombreux exemples de cette crédulité des foules aux choses les plus invraisemblables. Une bougie allumée à un étage supérieur était considérée aussitôt comme un signal fait aux assiégeants, bien qu’il fût évident, après deux secondes de réflexion, qu’il leur était absolument impossible d’apercevoir de plusieurs lieues de distance la lueur de cette bougie.</w:t>
      </w:r>
    </w:p>
  </w:footnote>
  <w:footnote w:id="4">
    <w:p>
      <w:pPr>
        <w:pStyle w:val="Notedebasdepage"/>
      </w:pPr>
      <w:r>
        <w:rPr>
          <w:rStyle w:val="Appelnotedebasdep"/>
        </w:rPr>
        <w:footnoteRef/>
        <w:t xml:space="preserve"> </w:t>
      </w:r>
      <w:r>
        <w:rPr>
          <w:i/>
        </w:rPr>
        <w:t xml:space="preserve">Éclair</w:t>
      </w:r>
      <w:r>
        <w:rPr/>
        <w:t xml:space="preserve"> du 21 avril 1895.</w:t>
      </w:r>
    </w:p>
  </w:footnote>
  <w:footnote w:id="5">
    <w:p>
      <w:pPr>
        <w:pStyle w:val="Notedebasdepage"/>
      </w:pPr>
      <w:r>
        <w:rPr>
          <w:rStyle w:val="Appelnotedebasdep"/>
        </w:rPr>
        <w:footnoteRef/>
        <w:t xml:space="preserve"> </w:t>
      </w:r>
      <w:r>
        <w:rPr/>
        <w:t xml:space="preserve">Savons-nous, pour une seule bataille, comment elle s’est passée exactement ? J’en doute fort. Nous savons quels furent les vainqueurs et les vaincus, mais probablement rien de plus. Ce que M. d’Harcourt, acteur et témoin, rapporte de la bataille de Solférino peut s’appliquer à toutes les batailles : “Les généraux (renseignés naturellement par des centaines de témoignages) trans­mettent leurs rapports officiels ; les officiers chargés de porter les ordres modifient ces documents et rédigent le projet définitif ; le chef d’état-major le conteste et le refait sur nouveaux frais. On le porte au Maréchal, il s’écrie : “Vous vous trompez absolument !” et il substitue une nouvelle rédaction. il ne reste presque rien du rapport primitif.” M. d’Harcourt relate ce fait comme une preuve de l’impossibilité où l’on est d’établir la vérité sur l’événement le plus saisissant, le mieux observé.”</w:t>
      </w:r>
    </w:p>
  </w:footnote>
  <w:footnote w:id="6">
    <w:p>
      <w:pPr>
        <w:pStyle w:val="Notedebasdepage"/>
      </w:pPr>
      <w:r>
        <w:rPr>
          <w:rStyle w:val="Appelnotedebasdep"/>
        </w:rPr>
        <w:footnoteRef/>
        <w:t xml:space="preserve"> </w:t>
      </w:r>
      <w:r>
        <w:rPr/>
        <w:t xml:space="preserve">C’est ce qui permet de comprendre pourquoi il arrive parfois que des pièces refusées par tous les directeurs de théâtre obtiennent de prodigieux succès lorsque, par hasard, elles sont jouées. On sait le succès de la pièce de M. Coppée, </w:t>
      </w:r>
      <w:r>
        <w:rPr>
          <w:i/>
        </w:rPr>
        <w:t xml:space="preserve">Pour la couronne</w:t>
      </w:r>
      <w:r>
        <w:rPr/>
        <w:t xml:space="preserve">, refusée pendant dix ans par les directeurs des premiers théâtres, malgré le nom de son auteur. La </w:t>
      </w:r>
      <w:r>
        <w:rPr>
          <w:i/>
        </w:rPr>
        <w:t xml:space="preserve">marraine de Charley</w:t>
      </w:r>
      <w:r>
        <w:rPr/>
        <w:t xml:space="preserve">, refusée par tous les théâtres et finalement montée aux frais d’un agent de change, a eu deux cents représentations en France et plus de mille en Angleterre. Sans l’explication donnée plus haut sur l’impossibilité où se trouvent les directeurs de théâtre de pouvoir se substituer mentalement à la foule, de telles aberrations de jugement de la part d’individus compétents et très intéressés à ne pas commettre d’aussi lourdes erreurs seraient inexplicables. C’est un sujet que je ne puis développer ici et qui mériterait d’être étudié longuement.</w:t>
      </w:r>
    </w:p>
  </w:footnote>
  <w:footnote w:id="7">
    <w:p>
      <w:pPr>
        <w:pStyle w:val="Notedebasdepage"/>
      </w:pPr>
      <w:r>
        <w:rPr>
          <w:rStyle w:val="Appelnotedebasdep"/>
        </w:rPr>
        <w:footnoteRef/>
        <w:t xml:space="preserve"> </w:t>
      </w:r>
      <w:r>
        <w:rPr/>
        <w:t xml:space="preserve">Cette proposition étant bien nouvelle encore, et l’histoire étant tout à fait inintelligible sans elle, j’ai consacré plusieurs chapitres de mon ouvrage </w:t>
      </w:r>
      <w:r>
        <w:rPr>
          <w:i/>
        </w:rPr>
        <w:t xml:space="preserve">(Les lois psychologiques de l’évolution des peuples)</w:t>
      </w:r>
      <w:r>
        <w:rPr/>
        <w:t xml:space="preserve"> à sa démonstration. Le lecteur y verra que, malgré de trompeuses apparences, ni la langue, ni la religion, ni les arts, ni, en un mot, aucun élément de civilisation, ne peut passer intact d’un peuple à un autre.</w:t>
      </w:r>
    </w:p>
  </w:footnote>
  <w:footnote w:id="8">
    <w:p>
      <w:pPr>
        <w:pStyle w:val="Notedebasdepage"/>
      </w:pPr>
      <w:r>
        <w:rPr>
          <w:rStyle w:val="Appelnotedebasdep"/>
        </w:rPr>
        <w:footnoteRef/>
        <w:t xml:space="preserve"> </w:t>
      </w:r>
      <w:r>
        <w:rPr/>
        <w:t xml:space="preserve">Le rapport de l’ancien conventionnel Fourcroy, cité par Taine, est à ce point de vue fort net :</w:t>
      </w:r>
    </w:p>
    <w:p>
      <w:pPr>
        <w:pStyle w:val="Notedebasdepage"/>
      </w:pPr>
      <w:r>
        <w:rPr/>
        <w:t xml:space="preserve">“Ce qu’on voit partout sur la célébration du dimanche et sur la fréquentation des églises prouve que la masse des Français veut revenir aux anciens usages, et il n’est plus temps de résister à cette pente nationale… La grande masse, des hommes a besoin de religion, de culte et de prêtres. </w:t>
      </w:r>
      <w:r>
        <w:rPr>
          <w:i/>
        </w:rPr>
        <w:t xml:space="preserve">C’est</w:t>
      </w:r>
      <w:r>
        <w:rPr/>
        <w:t xml:space="preserve"> une </w:t>
      </w:r>
      <w:r>
        <w:rPr>
          <w:i/>
        </w:rPr>
        <w:t xml:space="preserve">erreur de quelques philosophes modernes, à laquelle j’ai été moi-même entraîné</w:t>
      </w:r>
      <w:r>
        <w:rPr/>
        <w:t xml:space="preserve">, que de croire à la possibilité d’une instruction assez répandue pour détruire les préjugés reli­gieux ; ils sont, pour le grand nombre des malheureux, une source de consolation… Il faut donc laisser à la masse du peuple, ses prêtres, ses autels et son culte.</w:t>
      </w:r>
    </w:p>
  </w:footnote>
  <w:footnote w:id="9">
    <w:p>
      <w:pPr>
        <w:pStyle w:val="Notedebasdepage"/>
      </w:pPr>
      <w:r>
        <w:rPr>
          <w:rStyle w:val="Appelnotedebasdep"/>
        </w:rPr>
        <w:footnoteRef/>
        <w:t xml:space="preserve"> </w:t>
      </w:r>
      <w:r>
        <w:rPr/>
        <w:t xml:space="preserve">C’est ce que reconnaissent, même aux États-Unis, les républicains les plus avancés. Le journal américain </w:t>
      </w:r>
      <w:r>
        <w:rPr>
          <w:i/>
        </w:rPr>
        <w:t xml:space="preserve">Forum</w:t>
      </w:r>
      <w:r>
        <w:rPr/>
        <w:t xml:space="preserve"> exprimait récemment cette opinion catégorique dans les termes que je reproduis ici, d’après la </w:t>
      </w:r>
      <w:r>
        <w:rPr>
          <w:i/>
        </w:rPr>
        <w:t xml:space="preserve">Review of Reviews de</w:t>
      </w:r>
      <w:r>
        <w:rPr/>
        <w:t xml:space="preserve"> décembre 1894 :</w:t>
      </w:r>
    </w:p>
    <w:p>
      <w:pPr>
        <w:pStyle w:val="Notedebasdepage"/>
      </w:pPr>
      <w:r>
        <w:rPr/>
        <w:t xml:space="preserve">“On ne doit jamais oublier, même chez les plus fervents ennemis de l’aristocratie, que l’Angleterre est aujourd’hui le pays le plus démocratique de l’univers, celui où les droits de l’individu sont le plus respectés, et celui où les individus possèdent le plus de liberté.”</w:t>
      </w:r>
    </w:p>
  </w:footnote>
  <w:footnote w:id="10">
    <w:p>
      <w:pPr>
        <w:pStyle w:val="Notedebasdepage"/>
      </w:pPr>
      <w:r>
        <w:rPr>
          <w:rStyle w:val="Appelnotedebasdep"/>
        </w:rPr>
        <w:footnoteRef/>
        <w:t xml:space="preserve"> </w:t>
      </w:r>
      <w:r>
        <w:rPr/>
        <w:t xml:space="preserve">Si l’on rapproche les profondes dissensions religieuses et politiques qui séparent les diverses parties de la France, et sont surtout une question de races, des tendances séparatistes qui se sont manifestées à l’époque de la Révolution, et qui commençaient à se dessiner de nouveau vers la fin de la guerre franco-allemande, on voit que les races diverses qui subsistent sur notre sol sont bien loin d’être fusionnées encore. La centralisation énergique de la Révolution et la création de départements artificiels destinés à mêler les anciennes provinces fut certainement son œuvre la plus utile Si la décentralisation, dont parlent tant aujourd’hui des esprits imprévoyants, pouvait être créée, elle aboutirait promptement aux plus sanglantes discordes. Il faut pour le méconnaître oublier entièrement notre histoire.</w:t>
      </w:r>
    </w:p>
  </w:footnote>
  <w:footnote w:id="11">
    <w:p>
      <w:pPr>
        <w:pStyle w:val="Notedebasdepage"/>
      </w:pPr>
      <w:r>
        <w:rPr>
          <w:rStyle w:val="Appelnotedebasdep"/>
        </w:rPr>
        <w:footnoteRef/>
        <w:t xml:space="preserve"> </w:t>
      </w:r>
      <w:r>
        <w:rPr>
          <w:i/>
        </w:rPr>
        <w:t xml:space="preserve">Voir Psychologie du socialisme</w:t>
      </w:r>
      <w:r>
        <w:rPr/>
        <w:t xml:space="preserve">, 3° édit. </w:t>
      </w:r>
      <w:r>
        <w:rPr>
          <w:i/>
        </w:rPr>
        <w:t xml:space="preserve">Psychologie de l’éducation</w:t>
      </w:r>
      <w:r>
        <w:rPr/>
        <w:t xml:space="preserve"> (5° édition).</w:t>
      </w:r>
    </w:p>
  </w:footnote>
  <w:footnote w:id="12">
    <w:p>
      <w:pPr>
        <w:pStyle w:val="Notedebasdepage"/>
      </w:pPr>
      <w:r>
        <w:rPr>
          <w:rStyle w:val="Appelnotedebasdep"/>
        </w:rPr>
        <w:footnoteRef/>
        <w:t xml:space="preserve"> </w:t>
      </w:r>
      <w:r>
        <w:rPr/>
        <w:t xml:space="preserve">Ce n’est pas là d’ailleurs un phénomène spécial aux peuples latins ; on l’observe aussi en Chine, pays conduit également par une solide hiérarchie de mandarins, et où le mandarinat est, comme chez nous, obtenu par des concours dont la seule épreuve est la récitation imperturbable d’épais manuels. L’armée des lettrés sans emploi est considérée aujourd’hui en Chine comme une vérita­ble calamité nationale. il en est de même dans l’Inde, où, depuis que les Anglais ont ouvert des écoles, non pour éduquer, comme cela se fait en Angleterre, mais simplement pour instruire les indi­gènes, il s’est formé une classe spéciale de lettrés, les Babous, qui, lorsqu’ils ne peuvent recevoir un emploi, deviennent d’irréconciliables ennemis de la puissance anglaise. Chez tous les Babous, munis ou non d’emplois, le premier effet de l’instruction a été d’abaisser immensément le niveau de leur moralité. C’est un fait sur lequel j’ai longuement insisté dans mon livre </w:t>
      </w:r>
      <w:r>
        <w:rPr>
          <w:i/>
        </w:rPr>
        <w:t xml:space="preserve">Les Civilisalions de l’Inde</w:t>
      </w:r>
      <w:r>
        <w:rPr/>
        <w:t xml:space="preserve">, et qu’ont également constaté tous les auteurs qui ont visité la grande péninsule.</w:t>
      </w:r>
    </w:p>
  </w:footnote>
  <w:footnote w:id="13">
    <w:p>
      <w:pPr>
        <w:pStyle w:val="Notedebasdepage"/>
      </w:pPr>
      <w:r>
        <w:rPr>
          <w:rStyle w:val="Appelnotedebasdep"/>
        </w:rPr>
        <w:footnoteRef/>
        <w:t xml:space="preserve"> </w:t>
      </w:r>
      <w:r>
        <w:rPr/>
        <w:t xml:space="preserve">TAINE. </w:t>
      </w:r>
      <w:r>
        <w:rPr>
          <w:i/>
        </w:rPr>
        <w:t xml:space="preserve">Le Régime moderne</w:t>
      </w:r>
      <w:r>
        <w:rPr/>
        <w:t xml:space="preserve">, t. II, 1891. – Ces pages sont à peu près les dernières qu’écrivit Taine. Elles résument admirablement les résultats de la longue expérience du grand philosophe. Je les crois malheureusement totalement incom­préhensibles pour les professeurs de notre université n’ayant pas séjourné à l’étranger. L’éducation est le seul moyen que nous possédions pour agir un peu sur l’âme d’un peuple et il est profondément triste d’avoir à songer qu’il n’est à peu près personne, en France qui puisse arriver à comprendre que notre enseignement actuel est un redou­table élément de rapide décadence et qu’au lieu d’élever la jeunesse il l’abaisse et la pervertit.</w:t>
      </w:r>
    </w:p>
  </w:footnote>
  <w:footnote w:id="14">
    <w:p>
      <w:pPr>
        <w:pStyle w:val="Notedebasdepage"/>
      </w:pPr>
      <w:r>
        <w:rPr>
          <w:rStyle w:val="Appelnotedebasdep"/>
        </w:rPr>
        <w:footnoteRef/>
        <w:t xml:space="preserve"> </w:t>
      </w:r>
      <w:r>
        <w:rPr/>
        <w:t xml:space="preserve">Dans </w:t>
      </w:r>
      <w:r>
        <w:rPr>
          <w:i/>
        </w:rPr>
        <w:t xml:space="preserve">Les Lois psychologiques de l’évolution des peuples</w:t>
      </w:r>
      <w:r>
        <w:rPr/>
        <w:t xml:space="preserve">, j’ai longuement insisté sur la différence qui sépare l’idéal démocratique latin de l’idéal démocratique anglo-saxon.</w:t>
      </w:r>
    </w:p>
  </w:footnote>
  <w:footnote w:id="15">
    <w:p>
      <w:pPr>
        <w:pStyle w:val="Notedebasdepage"/>
      </w:pPr>
      <w:r>
        <w:rPr>
          <w:rStyle w:val="Appelnotedebasdep"/>
        </w:rPr>
        <w:footnoteRef/>
        <w:t xml:space="preserve"> </w:t>
      </w:r>
      <w:r>
        <w:rPr/>
        <w:t xml:space="preserve">L’opinion des foules était formée, dans ce cas, par ces associations grossières de choses dissem­blables dont j’ai pré­cédemment exposé le mécanisme. Notre garde nationale d’alors, étant composée de pacifiques boutiquiers sans trace de discipline, et ne pouvant être prise au sérieux, tout ce qui portait un nom analogue éveillait les mêmes images, et était considéré par conséquent comme aussi inoffensif. L’erreur des foules était partagée alors, ainsi que cela arrive si sou­vent pour les opinions générales, par leurs meneurs. Dans un discours prononcé le 31 décembre 1867 à la chambre des députés, et reproduit par M. E. Ollivier dans un livre récent, un homme d’État qui a bien souvent suivi l’opinion des foules, mais ne l’a jamais précédée, M. Thiers, répétait que la Prusse, en dehors d’une armée active à peu près égale en nombre à la nôtre, ne possédait qu’une garde nationale ana­logue à celle que nous possédions et par conséquent sans importance ; asser­tions aussi exactes que les prévisions du même homme d’État sur le peu d’avenir des chemins de fer.</w:t>
      </w:r>
    </w:p>
  </w:footnote>
  <w:footnote w:id="16">
    <w:p>
      <w:pPr>
        <w:pStyle w:val="Notedebasdepage"/>
      </w:pPr>
      <w:r>
        <w:rPr>
          <w:rStyle w:val="Appelnotedebasdep"/>
        </w:rPr>
        <w:footnoteRef/>
        <w:t xml:space="preserve"> </w:t>
      </w:r>
      <w:r>
        <w:rPr/>
        <w:t xml:space="preserve">Mes premières observations sur l’art d’impressionner les foules et sur les faibles ressources qu’offrent sur ce point les règles de la logique remontent à l’époque du siège de Paris, le jour où je vis conduire au Louvre, où siégeait alors le gouvernement, le maréchal V…, qu’une foule furieuse prétendait avoir surpris levant le plan des fortifications pour le vendre aux Prussiens. Un membre du gouvernement, G.P…, orateur fort célèbre, sortit pour haranguer la foule qui récla­mait l’exécution immédiate du prisonnier. Je m’attendais à ce que l’orateur démontrât l’absurdité de l’accusation, en disant que le maréchal accusé était précisément un des constructeurs de ces fortifi­cations dont le plan se vendait d’ailleurs chez tous les libraires. A ma grande stupéfaction – j’étais fort jeune alors – le discours fut tout autre… “Justice sera faite, cria l’orateur en s’avançant vers le prisonnier, et une justice impitoyable. Laissez le gouvernement de la défense nationale terminer votre enquête. Nous allons, en attendant, enfermer l’accusé.” Calmée aussitôt par cette satisfaction apparente, la foule s’écoula, et au bout d’un quart d’heure le maréchal put regagner son domicile. Il eût été infaillible­ment écharpé si l’orateur eût tenu à la foule en fureur les raisonnements logiques que ma grande jeunesse me faisaient trouver très convaincants.</w:t>
      </w:r>
    </w:p>
  </w:footnote>
  <w:footnote w:id="17">
    <w:p>
      <w:pPr>
        <w:pStyle w:val="Notedebasdepage"/>
      </w:pPr>
      <w:r>
        <w:rPr>
          <w:rStyle w:val="Appelnotedebasdep"/>
        </w:rPr>
        <w:footnoteRef/>
        <w:t xml:space="preserve"> </w:t>
      </w:r>
      <w:r>
        <w:rPr/>
        <w:t xml:space="preserve">GUSTAVE LE BON. </w:t>
      </w:r>
      <w:r>
        <w:rPr>
          <w:i/>
        </w:rPr>
        <w:t xml:space="preserve">L’homme et</w:t>
      </w:r>
      <w:r>
        <w:rPr/>
        <w:t xml:space="preserve"> les </w:t>
      </w:r>
      <w:r>
        <w:rPr>
          <w:i/>
        </w:rPr>
        <w:t xml:space="preserve">Sociétés</w:t>
      </w:r>
      <w:r>
        <w:rPr/>
        <w:t xml:space="preserve">, t. II, p. 116, 1881.</w:t>
      </w:r>
    </w:p>
  </w:footnote>
  <w:footnote w:id="18">
    <w:p>
      <w:pPr>
        <w:pStyle w:val="Notedebasdepage"/>
      </w:pPr>
      <w:r>
        <w:rPr>
          <w:rStyle w:val="Appelnotedebasdep"/>
        </w:rPr>
        <w:footnoteRef/>
        <w:t xml:space="preserve"> </w:t>
      </w:r>
      <w:r>
        <w:rPr/>
        <w:t xml:space="preserve">Cette influence des titres, des rubans, des uniformes sur les foules se rencontre dans tous les pays, même dans ceux où le sentiment de l’indépendance personnelle est le plus développé. Je reproduis à ce propos un passage curieux du livre récent d’un voyageur sur le prestige de certains personnages en Angleterre.</w:t>
      </w:r>
    </w:p>
    <w:p>
      <w:pPr>
        <w:pStyle w:val="Notedebasdepage"/>
      </w:pPr>
      <w:r>
        <w:rPr/>
        <w:t xml:space="preserve">“En diverses rencontres, je ne m’étais aperçu de l’ivresse particulière à laquelle le contact ou la vue d’un pair d’Angleterre exposent les Anglais les plus raisonnables.</w:t>
      </w:r>
    </w:p>
    <w:p>
      <w:pPr>
        <w:pStyle w:val="Notedebasdepage"/>
      </w:pPr>
      <w:r>
        <w:rPr/>
        <w:t xml:space="preserve">“Pourvu que son état soutienne son rang, ils l’aiment d’avance, et mis en présence supportent tout de lui avec enchantement. On les voit rougir de plaisir à son approche et, s’il leur parle, la joie qu’ils contiennent augmente cette rougeur et fait briller leurs yeux d’un éclat inaccoutumé. Ils ont le lord dans le sang, si l’on peut dire, comme l’Espa­gnol la danse, l’Allemand la musique et le Français la Révo­lution. Leur passion pour les chevaux et Shakspeare est moins violente, la satisfaction et l’orgueil qu’ils en tirent moins fondamentaux. Le Livre de la Pairie a un débit considérable, et si loin qu’on aille, on le trouve, comme la Bible, entre toutes les mains.</w:t>
      </w:r>
    </w:p>
  </w:footnote>
  <w:footnote w:id="19">
    <w:p>
      <w:pPr>
        <w:pStyle w:val="Notedebasdepage"/>
      </w:pPr>
      <w:r>
        <w:rPr>
          <w:rStyle w:val="Appelnotedebasdep"/>
        </w:rPr>
        <w:footnoteRef/>
        <w:t xml:space="preserve"> </w:t>
      </w:r>
      <w:r>
        <w:rPr/>
        <w:t xml:space="preserve">Très conscient de son prestige, Napoléon savait qu’il l’accroissait encore en traitant un peu moins bien que des palefreniers les grands personnages qui l’entouraient, et parmi lesquels figuraient plu­sieurs de ces célèbres conventionnels qu’avait tant redoutés l’Europe. Les récits du temps sont pleins de faits significatifs sur ce point. Un jour, en plein conseil d’État, Napoléon rudoie grossiè­rement Beugnot qu’il traite comme un valet mal appris. L’effet produit, il s’approche et lui dit : “Eh bien, grand imbécile, avez-vous retrouvé votre tête ?” Là-dessus, Beugnot, haut comme un tambour-major se courbe très bas, et le petit homme, levant la main, prend le grand par l’oreille, “signe de faveur enivrante, écrit Beugnot, geste familier du maître qui s’humanise”. De tels exemples donnent une notion nette du degré de basse platitude que peut provoquer le prestige. Ils font comprendre l’immense mépris du grand despote pour les hommes qui l’entouraient et qu’il traitait simplement de chair à canon”.</w:t>
      </w:r>
    </w:p>
  </w:footnote>
  <w:footnote w:id="20">
    <w:p>
      <w:pPr>
        <w:pStyle w:val="Notedebasdepage"/>
      </w:pPr>
      <w:r>
        <w:rPr>
          <w:rStyle w:val="Appelnotedebasdep"/>
        </w:rPr>
        <w:footnoteRef/>
        <w:t xml:space="preserve"> </w:t>
      </w:r>
      <w:r>
        <w:rPr/>
        <w:t xml:space="preserve">Un journal étranger, la </w:t>
      </w:r>
      <w:r>
        <w:rPr>
          <w:i/>
        </w:rPr>
        <w:t xml:space="preserve">Neu Freie Presse</w:t>
      </w:r>
      <w:r>
        <w:rPr/>
        <w:t xml:space="preserve">, de Vienne, s’est livré au sujet de la destinée de Lesseps à des réflexions d’une très judicieuse psychologie, et que, pour cette raison, je reproduis ici :</w:t>
      </w:r>
    </w:p>
    <w:p>
      <w:pPr>
        <w:pStyle w:val="Notedebasdepage"/>
      </w:pPr>
      <w:r>
        <w:rPr/>
        <w:t xml:space="preserve">“Après la condamnation de Ferdinand de Lesseps, on n’a plus le droit de s’étonner de la triste fin de Christophe Colomb. Si Ferdinand de Lesseps est un escroc, toute noble illusion est un crime. L’antiquité aurait couronné la mémoire de Lesseps d’une auréole de gloire, et lui aurait fait boire à la coupe du nectar au milieu de l’Olympe, car il a changé la face de la terre, et il a accompli des œuvres qui perfection­nent la création. En condamnant Ferdinand de Lesseps, le président de la Cour d’appel s’est fait immortel, car toujours les peuples demanderont le nom de l’homme qui ne craignit pas d’abaisser son siècle pour habiller de la casaque du forçat un vieillard dont la vie a été la gloire de ses contem­porains.</w:t>
      </w:r>
    </w:p>
    <w:p>
      <w:pPr>
        <w:pStyle w:val="Notedebasdepage"/>
      </w:pPr>
      <w:r>
        <w:rPr/>
        <w:t xml:space="preserve">“Qu’on ne nous parle plus désormais de justice inflexible, là où règne la haine bureaucratique contre les grandes œuvres hardies. Les nations ont besoin de ces hommes audacieux qui croient en eux-mêmes et franchissent tous les obstacles, sans égard pour leur propre personne. Le génie ne peut pas être prudent ; avec la prudence il ne pourrait jamais élargir le cercle de l’activité humaine.</w:t>
      </w:r>
    </w:p>
    <w:p>
      <w:pPr>
        <w:pStyle w:val="Notedebasdepage"/>
      </w:pPr>
      <w:r>
        <w:rPr/>
        <w:t xml:space="preserve">“… Ferdinand de Lesseps a connu l’ivresse du triomphe et l’amertume des déceptions : Suez et Panama. Ici le cœur se révolte contre la morale du succès. Lorsque de Lesseps eut réussi à relier deux mers, princes et nations lui rendirent leurs hommages ; aujourd’hui qu’il échoue contre les rochers des Cordillères, il n’est plus qu’un vulgaire escroc… Il y a là une guerre des classes de la société, un mécontentement de bureaucrates et d’employés qui se vengent par le code cri­minel contre ceux qui voudraient s’élever au-dessus des autres… Les législateurs modernes se trouvent embarrassés devant ces grandes idées du génie humain ; le publie y comprend moins encore, et il est facile à un avocat général de prouver que Stanley est un assassin et Lesseps un trompeur.”</w:t>
      </w:r>
    </w:p>
  </w:footnote>
  <w:footnote w:id="21">
    <w:p>
      <w:pPr>
        <w:pStyle w:val="Notedebasdepage"/>
      </w:pPr>
      <w:r>
        <w:rPr>
          <w:rStyle w:val="Appelnotedebasdep"/>
        </w:rPr>
        <w:footnoteRef/>
        <w:t xml:space="preserve"> </w:t>
      </w:r>
      <w:r>
        <w:rPr/>
        <w:t xml:space="preserve">Barbares philosophiquement, j’entends. Pratiquement, elles ont créé une civilisation entièrement nouvelle et pendant quinze siècles laissé entrevoir à l’homme ces paradis enchantés du rêve et de l’espoir qu’il ne connaîtra plus.</w:t>
      </w:r>
    </w:p>
  </w:footnote>
  <w:footnote w:id="22">
    <w:p>
      <w:pPr>
        <w:pStyle w:val="Notedebasdepage"/>
      </w:pPr>
      <w:r>
        <w:rPr>
          <w:rStyle w:val="Appelnotedebasdep"/>
        </w:rPr>
        <w:footnoteRef/>
        <w:t xml:space="preserve"> </w:t>
      </w:r>
      <w:r>
        <w:rPr/>
        <w:t xml:space="preserve">Certaines pages des livres de nos professeurs officiels sont, à ce point de vue, bien curieuses, et montrent à quel point l’esprit critique est peu développé par notre éducation universitaire. Je citerai comme exemple les lignes suivantes extraites de la Révolution française d’un ancien professeur d’histoire à la Sorbonne, qui fut ministre de l’instruction publique.</w:t>
      </w:r>
    </w:p>
    <w:p>
      <w:pPr>
        <w:pStyle w:val="Notedebasdepage"/>
      </w:pPr>
      <w:r>
        <w:rPr/>
        <w:t xml:space="preserve">“La prise de la Bastille est un fait culminant dans l’histoire non seulement de la France, mais de l’Europe entière ; elle inaugurait une époque nouvelle de l’histoire du monde” !</w:t>
      </w:r>
    </w:p>
    <w:p>
      <w:pPr>
        <w:pStyle w:val="Notedebasdepage"/>
      </w:pPr>
      <w:r>
        <w:rPr/>
        <w:t xml:space="preserve">Quant à, Robespierre, nous y apprenons avec stupeur, que sa dictature fut surtout d’opinion, de persuasion, d’autorité morale ; elle fut une sorte de pontificat entre les mains d’un homme vertueux ! (pp.91 et 220.)</w:t>
      </w:r>
    </w:p>
  </w:footnote>
  <w:footnote w:id="23">
    <w:p>
      <w:pPr>
        <w:pStyle w:val="Notedebasdepage"/>
      </w:pPr>
      <w:r>
        <w:rPr>
          <w:rStyle w:val="Appelnotedebasdep"/>
        </w:rPr>
        <w:footnoteRef/>
        <w:t xml:space="preserve"> </w:t>
      </w:r>
      <w:r>
        <w:rPr/>
        <w:t xml:space="preserve">Remarquons en passant que cette division, très bien faite d’instinct par les jurés, entre les crimes dangereux pour la société et les crimes non dangereux pour elle n’est pas du tout dénuée de justesse. Le but des lois criminelles doit être évidemment de protéger la société contre les criminels dangereux et non pas de la venger. Or nos codes, et surtout l’esprit de nos magistrats, sont tout imprégnés encore de l’esprit de vengeance du vieux droit primitif, et le terme de vindicte (vindicta, vengeance) est encore d’un usage journalier. Nous avons la preuve de cette tendance des magis­trats dans le refus de beaucoup d’entre eux d’appliquer l’excellente loi Bérenger, qui permet au condamné de ne subir sa peine que s’il récidive. Or, il n’est pas un magistrat qui puisse ignorer, car la statistique le prouve, que l’application d’une première peine crée presque infailliblement la récidive. Quand les juges relâchent un coupable, il leur semble toujours que la société n’a pas été vengée. Plutôt que de ne la pas venger, ils préfèrent créer un récidiviste dangereux.</w:t>
      </w:r>
    </w:p>
  </w:footnote>
  <w:footnote w:id="24">
    <w:p>
      <w:pPr>
        <w:pStyle w:val="Notedebasdepage"/>
      </w:pPr>
      <w:r>
        <w:rPr>
          <w:rStyle w:val="Appelnotedebasdep"/>
        </w:rPr>
        <w:footnoteRef/>
        <w:t xml:space="preserve"> </w:t>
      </w:r>
      <w:r>
        <w:rPr/>
        <w:t xml:space="preserve">La magistrature représente, en effet, la seule administration dont les actes ne soient soumis à aucun contrôle. Malgré toutes ses révolutions, la France démocratique ne possède pas ce droit d’</w:t>
      </w:r>
      <w:r>
        <w:rPr>
          <w:i/>
        </w:rPr>
        <w:t xml:space="preserve">habeas corpus</w:t>
      </w:r>
      <w:r>
        <w:rPr/>
        <w:t xml:space="preserve"> dont l’Angleterre est si fière. Nous avons banni tous les tyrans ; mais dans chaque cité nous avons établi un magistrat qui dispose à son gré de l’honneur et de la liberté des citoyens. Un petit juge d’instruction, à peine sorti de l’école de droit, possède le pouvoir révoltant d’envoyer à son gré en prison, sur une simple supposition de culpabilité de sa part, et dont il ne doit la justifi­cation à personne, les citoyens les plus considérables. Il peut les y garder six mois ou même un an sous prétexte d’instruction, et les relâcher ensuite sans leur devoir ni indemnité, ni excuses. Le mandat d’amener est absolument l’équivalent de la lettre de cachet, avec cette différence que cette dernière, si justement reprochée à l’ancienne monarchie, n’était à la portée que de très grands personnages, alors qu’elle est aujourd’hui entre les mains de toute une classe de citoyens, qui est loin de passer pour la plus éclairée et la plus indépendante.</w:t>
      </w:r>
    </w:p>
  </w:footnote>
  <w:footnote w:id="25">
    <w:p>
      <w:pPr>
        <w:pStyle w:val="Notedebasdepage"/>
      </w:pPr>
      <w:r>
        <w:rPr>
          <w:rStyle w:val="Appelnotedebasdep"/>
        </w:rPr>
        <w:footnoteRef/>
        <w:t xml:space="preserve"> </w:t>
      </w:r>
      <w:r>
        <w:rPr/>
        <w:t xml:space="preserve">Les comités, quels que soient leurs noms : clubs, syndicats, etc., constituent peut-être le plus redoutable danger de la puissance des foules. Ils représentent, en effet, la forme la plus imper­sonnelle, et, par conséquent, la plus oppressive de la tyrannie. Les meneurs qui dirigent les comités étant censés parler et agir au nom d’une collectivité sont dégagés de toute responsabilité et peuvent tout se permettre. Le tyran le plus farouche n’eût jamais osé rêver les proscriptions ordonnées par les comités révolutionnaires. Ils avaient, dit Barras, décimés et mis en coupe réglée la Convention. Robes­pierre fut maître absolu tant qu’il put parler en leur nom. Le jour où l’effroyable dictateur se sépara d’eux pour des questions d’amour-propre, il fut perdu. Le règne des foules c’est le règne des comités, c’est-à-dire des meneurs. On ne saurait rêver de despotisme plus dur.</w:t>
      </w:r>
    </w:p>
  </w:footnote>
  <w:footnote w:id="26">
    <w:p>
      <w:pPr>
        <w:pStyle w:val="Notedebasdepage"/>
      </w:pPr>
      <w:r>
        <w:rPr>
          <w:rStyle w:val="Appelnotedebasdep"/>
        </w:rPr>
        <w:footnoteRef/>
        <w:t xml:space="preserve"> </w:t>
      </w:r>
      <w:r>
        <w:rPr/>
        <w:t xml:space="preserve">C’est à ces opinions antérieurement fixées et rendues irréductibles par des nécessités électorales, que s’applique sans doute cette réflexion d’un vieux parlementaire anglais : “Depuis cinquante ans que je siège à Westminster, j’ai entendu des milliers de discours ; il en est peu qui aient changé mon opinion ; mais pas un seul n’a changé mon vote.”</w:t>
      </w:r>
    </w:p>
  </w:footnote>
  <w:footnote w:id="27">
    <w:p>
      <w:pPr>
        <w:pStyle w:val="Notedebasdepage"/>
      </w:pPr>
      <w:r>
        <w:rPr>
          <w:rStyle w:val="Appelnotedebasdep"/>
        </w:rPr>
        <w:footnoteRef/>
        <w:t xml:space="preserve"> </w:t>
      </w:r>
      <w:r>
        <w:rPr/>
        <w:t xml:space="preserve">Dans son numéro du 6 avril 1895, </w:t>
      </w:r>
      <w:r>
        <w:rPr>
          <w:i/>
        </w:rPr>
        <w:t xml:space="preserve">l’Economiste</w:t>
      </w:r>
      <w:r>
        <w:rPr/>
        <w:t xml:space="preserve"> faisait une revue curieuse de ce que peuvent coûter en une année ces dépenses d’intérêt purement électoral, notamment celles des chemins de fer. Pour relier Langayes (ville de 3.000 habi­tants), juchée sur une montagne, au Puy, vote d’un chemin de fer qui coûtera 15 millions. Pour relier Beaumont (3.500 ha­bitants) à Castel-Sarrazin, 7 millions. Pour relier le village de Oust (523 habitants) à celui de Seix (1.200 habitants) 7 mil­lions. Pour relier Prades à la bourgade d’Olette (717 habi­tants), 6 millions, etc. Rien que pour 1895, 90 millions de voies ferrées dépourvues de tout intérêt général ont été votés. D’autres dépenses de nécessités également électorales ne sont pas moins importantes. La loi sur les retraites ouvrières coûtera bientôt un minimum annuel de 165 millions d’après le ministre des finances, et de 800 millions suivant l’académi­cien Leroy-Beaulieu. Évidemment la progression continue de telles dépenses a forcément cour issue la faillite. Beaucoup de pays en Europe : le Portugal, la Grèce, l’Espagne, la Turquie, y sont arrivés ; d’autres vont y être acculés bientôt ; mais il ne faut pas trop s’en préoccuper, puisque le public a successivement accepté sans grandes protes­tations des réductions des quatre cinquièmes dans le paie­ment des coupons par divers pays. Ces ingénieuses faillites permettent alors de remettre instantanément les budgets avariés en équilibre. Les guerres, le socialisme, les luttes économiques nous préparent d’ailleurs de bien autres catastrophes, et à l’époque de désagrégation universelle où nous sommes entrés, il faut se résigner à vivre au jour le jour sans trop se soucier de lendemains qui nous échappent.</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