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 3 décembre 1912, après la première guerre balkanique, l’orateur du groupe social-démocrate s’exprimait en ces termes au Reichstag : « Hier, on a fait remarquer à cette même tribune que la politique orientale de l’Allemagne n’était pas responsable de l’effondrement de la Turquie, que ç'avait été une bonne politique. M. le chancelier de l’Empire croyait que nous avions rendu bien de bons services à la Turquie et M. Bassermann disait que nous avions amené la Turquie à accomplir des réformes judicieuses. Sur ce dernier point, je ne suis au courant de rien (hilarité chez les sociaux-démocrates) ; et derrière les bons services je voudrais mettre aussi un point d’interrogation. Pourquoi la Turquie s’est-elle effondrée ? Ce qui s’est effondré là-bas, c’est un régime de junkers semblable à celui que nous avons à l’est de l’Elbe. (" Très juste ! " - sur les bancs sociaux-démocrates. Rires à droite) L'effondrement de la Turquie est un phénomène parallèle à l’effondrement du régime des junkers mandchous en Chine. Pour les régimes de junkers ça a l’air d’aller de plus en plus mal partout. (Acclamations des sociaux-démocrates : "Tant mieux !" ) Ils ne répondent plus aux exigences du monde moderne. »</w:t>
      </w:r>
    </w:p>
    <w:p>
      <w:pPr>
        <w:pStyle w:val="Notedebasdepage"/>
      </w:pPr>
      <w:r>
        <w:rPr/>
        <w:t xml:space="preserve">« Je disais que la situation en Turquie ressemblait jusqu’à un certain point à celle que nous connaissons à l’est de l’Elbe. Les Turcs sont une caste dirigeante de conquérants, ils ne sont qu’une petite minorité. A côté des Turcs, on trouve encore les non-Turcs qui ont adopté la religion musulmane, mais les véritables Turcs d’origine ne sont qu’une petite minorité, une caste guerrière, une caste qui, comme en Prusse, s’est emparée de tous les postes clés, dans l’administration, dans la diplomatie et dans l’armée ; une caste qui, vis-à-vis des papans bulgares et serbes, a poursuivi la même politique seigneuriale que nos spahis à l’est de l’Elbe. (Hilarité.) Aussi longtemps que la Turquie avait une économie naturelle, cela allait encore ; car alors, un tel régime de seigneurs est encore supportable dans une certaine mesure, parce que le seigneur ne pousse pas encore tellement l’exploitation de ses manants ; s’il a de quoi bien manger, et de quoi bien vivre, il est content. Mais au moment où la Turquie, entrant en contact avec l’Europe, devint une économie monétaire moderne, l’oppression des junkers turcs devint de plus en plus insupportable. La classe paysanne fut pressée comme un citron, et une grande partie des paysans réduite à la mendicité ; beaucoup se firent brigands. Voilà ce que sont les Komitaschis ! (Rires à droite) Les junkers turcs n’ont pas seulement fait la guerre contre l’ennemi extérieur, non, en dessous de cette guerre contre l’ennemi extérieur une révolution paysanne s’est accomplie en Turquie. Voilà ce qui a rompu l’échine des Turcs et voilà ce qui a provoqué l’effondrement de leur régime de junkers ! Et on dit maintenant que le gouvernement allemand a rendu de bons services dans ce pays ! Mais les meilleurs services qu’il aurait pu rendre à la Turquie, et aussi au régime des junkers, il ne les a pas rendus ! Il aurait dû leur conseiller d’accomplir les réformes qu’ils étaient tenus de faire en vertu du protocole de Berlin : de libérer véritablement leurs paysans, comme la Bulgarie et la Serbie l’avaient fait. Mais comment une diplomatie allemande de junkers en aurait-elle été capable ? »</w:t>
      </w:r>
    </w:p>
    <w:p>
      <w:pPr>
        <w:pStyle w:val="Notedebasdepage"/>
      </w:pPr>
      <w:r>
        <w:rPr/>
        <w:t xml:space="preserve">« [...] Les instructions que M. von Marschall recevait de Berlin ne pouvaient en tout cas l’amener à rendre réellement de bons services aux Jeunes Turcs. Ce qu’elles leur ont apporté - je ne veux même pas parler des choses militaires -, c’est un certain état d’esprit qu’elles ont introduit dans le corps des officiers turcs : l’esprit de l’« officier de garde élégant » (hilarité chez, les sociaux-démocrates), un esprit qui s’est avéré si extraordinairement funeste pour l’armée turque dans le combat. On raconte notamment qu’on a trouvé des officiers morts qui portaient des chaussures laquées. La prétention de dominer la masse du peuple et la masse des soldats en toutes choses, cette morgue de l’officier, cette façon de commander de haut, tout cela a pourri à la racine les rapports de confiance au sein de l’armée turque, et, dès lors, on peut donc comprendre que cet état d’esprit ait contribué à provoquer la débâcle de l’armée turque. »</w:t>
      </w:r>
    </w:p>
    <w:p>
      <w:pPr>
        <w:pStyle w:val="Notedebasdepage"/>
      </w:pPr>
      <w:r>
        <w:rPr/>
        <w:t xml:space="preserve">« Messieurs, nos avis divergent sur le point de savoir qui est responsable de l’effondrement de la Turquie. La transmission d’un certain esprit prussien n’est pas responsable à lui seul de l’effondrement de la Turquie, bien sûr que non, mais il y a contribué, il l’a précipité. L'effondrement lui-même était dû fondamentalement à des causes économiques, comme je l’ai montré. »</w:t>
      </w:r>
    </w:p>
  </w:footnote>
  <w:footnote w:id="2">
    <w:p>
      <w:pPr>
        <w:pStyle w:val="Notedebasdepage"/>
      </w:pPr>
      <w:r>
        <w:rPr>
          <w:rStyle w:val="Appelnotedebasdep"/>
        </w:rPr>
        <w:footnoteRef/>
        <w:t xml:space="preserve"> </w:t>
      </w:r>
      <w:r>
        <w:rPr/>
        <w:t xml:space="preserve">La bruyante excitation entretenue depuis des années dans les milieux impérialistes allemands autour de la question du Maroc n’était pas faite pour calmer les appréhensions de la France. L'association pangermanique défendait tout haut le programme d’annexion du Maroc, qu’elle considérait naturellement comme une « question vitale » pour l’Allemagne, et elle diffusa un tract de la plume de son président Heinrich Clatz sous le titre : </w:t>
      </w:r>
      <w:r>
        <w:rPr>
          <w:i/>
        </w:rPr>
        <w:t xml:space="preserve">L'Ouest du Maroc allemand</w:t>
      </w:r>
      <w:r>
        <w:rPr/>
        <w:t xml:space="preserve"> ! Lorsque le professeur Schiemann chercha à justifier l’arrangement conclu par le département des Affaires étrangères et son renoncement au Maroc en invoquant les intérêts du commerce au Congo, le Post s’en prit à lui de la manière suivante :</w:t>
      </w:r>
    </w:p>
    <w:p>
      <w:pPr>
        <w:pStyle w:val="Notedebasdepage"/>
      </w:pPr>
      <w:r>
        <w:rPr/>
        <w:t xml:space="preserve">« M. le professeur Schiedmann est russe de naissance, et peut-être n’est-il pas même de pure descendance allemande. Dès lors, personne ne peut lui en vouloir s’il considère d’un air froid et moqueur des questions qui piquent au plus vif la conscience nationale et la fierté que tout Allemand authentique porte en lui. Le jugement d’un étranger qui parle de ce qui est le battement de cœur patriotique et la palpitation douloureuse de l’âme inquiète du peuple allemand comme s’il s’agissait d’une fantaisie politique passagère ou d’une aventure de conquistadores doit provoquer à juste titre notre colère et notre mépris, d’autant plus que cet étranger jouit de l’hospitalité de l’État prussien en tant que professeur à l’Université de Berlin. Que l’homme qui ose insulter ainsi les sentiments les plus sacrés du peuple allemand dans l’organe directeur du parti conservateur soit le maître et le conseiller de notre Kaiser en matière politique, et qu’il soit considéré, à tort ou à raison, comme son porte parole, cela nous remplit d’une profonde tristesse.  »</w:t>
      </w:r>
    </w:p>
  </w:footnote>
  <w:footnote w:id="3">
    <w:p>
      <w:pPr>
        <w:pStyle w:val="Notedebasdepage"/>
      </w:pPr>
      <w:r>
        <w:rPr>
          <w:rStyle w:val="Appelnotedebasdep"/>
        </w:rPr>
        <w:footnoteRef/>
        <w:t xml:space="preserve"> </w:t>
      </w:r>
      <w:r>
        <w:rPr/>
        <w:t xml:space="preserve">Au mois de janvier 1908, l’homme politique libéral russe Pierre Strouvé écrivait, d’après la presse allemande : « Maintenant, il est temps de dire qu’il n’existe qu’un moyen pour créer une grande Russie, c’est de concentrer toutes nos forces sur une seule région qui soit accessible à la civilisation russe et où elle pourra exercer une influence réelle. Cette région, c’est tout le bassin de la mer Noire, c’est-à-dire l’ensemble des pays européens et asiatiques riverains de la mer Noire. Là, nous disposons d’une base réelle pour asseoir solidement notre souveraineté économique : des hommes, du charbon et du fer. C'est sur cette base réelle, et sur elle seulement, que, par un travail civilisateur infatigable soutenu de tous côtés par l’État, on pourra édifier une grande Russie économiquement forte. »</w:t>
      </w:r>
    </w:p>
    <w:p>
      <w:pPr>
        <w:pStyle w:val="Notedebasdepage"/>
      </w:pPr>
      <w:r>
        <w:rPr/>
        <w:t xml:space="preserve">Au début de la guerre mondiale actuelle, le même Strouvé écrivait, encore avant l’intervention de la Turquie :</w:t>
      </w:r>
    </w:p>
    <w:p>
      <w:pPr>
        <w:pStyle w:val="Notedebasdepage"/>
      </w:pPr>
      <w:r>
        <w:rPr/>
        <w:t xml:space="preserve">« Chez les politiciens allemands apparaît une politique d’autonomie turque, dont l’idée maîtresse est le programme de l’égyptisation de la Turquie sous la sauvegarde de l’Allemagne. Le Bosphore et les Dardanelles devraient devenir un Suez allemand. Avant la guerre entre l’Italie et la Turquie qui délogea les Turcs de leurs positions en Afrique, et avant la guerre des Balkans, qui les chassa presque d’Europe, la tâche suivante apparaissait déjà clairement pour l’Allemagne : conserver la Turquie et maintenir son indépendance dans l’intérêt de la stabilité économique et politique de l’Allemagne. Après les guerres que nous venons de mentionner, cette tâche ne changea que dans la mesure où la faiblesse extrême de la Turquie s’était montrée au grand jour ; dans ces conditions, une alliance devait dégénérer aussitôt en un protectorat ou une tutelle qui devait finalement amener l’Empire ottoman au même point que l’Égypte. Or, il est absolument clair qu’une Égypte allemande sur la mer Noire et la mer de Marmara serait tout à fait intolérable pour la Russie. Dès lors, il ne faut pas s’étonner que le gouvernement russe ait aussitôt protesté contre les démarches qui préparaient une telle politique et notamment contre la mission du général Liman von Sanders, qui devait non seulement réorganiser l’armée turque, mais même commander un corps d’armée à Constantinople. La Russie obtint là-dessus des satisfactions formelles, mais, en réalité, la situation ne changea pas d’un pouce. Dans ces conditions, en décembre 1913, une guerre était imminente entre la Russie et l’Allemagne : l’exemple de la mission militaire Liman von Sanders avait révélé que la politique de l’Allemagne tendait à l"' égyptisation " de la Turquie. Cette nouvelle direction de la politique allemande aurait suffi à elle seule à provoquer un conflit armé entre l’Allemagne et la Russie. Nous entrions donc en décembre 1913 dans une époque de mûrissement d’un conflit qui devait inévitablement prendre le caractère d’un conflit mondial. »</w:t>
      </w:r>
    </w:p>
  </w:footnote>
  <w:footnote w:id="4">
    <w:p>
      <w:pPr>
        <w:pStyle w:val="Notedebasdepage"/>
      </w:pPr>
      <w:r>
        <w:rPr>
          <w:rStyle w:val="Appelnotedebasdep"/>
        </w:rPr>
        <w:footnoteRef/>
        <w:t xml:space="preserve"> </w:t>
      </w:r>
      <w:r>
        <w:rPr/>
        <w:t xml:space="preserve">Dans le tract impérialiste Pourquoi la guerre allemande ?, nous lisons : « La Russie avait déjà éprouvé auparavant la tentation de nous offrir l’Autriche allemande, ces dix millions d’Allemands qui étaient restés en dehors de notre unification nationale en 1866 et en 1870-71. Si nous leur livrions la monarchie des Habsbourg, cette trahison pourrait recevoir salaire. »</w:t>
      </w:r>
    </w:p>
  </w:footnote>
  <w:footnote w:id="5">
    <w:p>
      <w:pPr>
        <w:pStyle w:val="Notedebasdepage"/>
      </w:pPr>
      <w:r>
        <w:rPr>
          <w:rStyle w:val="Appelnotedebasdep"/>
        </w:rPr>
        <w:footnoteRef/>
        <w:t xml:space="preserve"> </w:t>
      </w:r>
      <w:r>
        <w:rPr/>
        <w:t xml:space="preserve">Le Kölnische Zeitung écrivait après l’attentat de Sarajevo, c’est-à-dire à la veille de la guerre, alors qu’on ne connaissait pas encore le dessous des cartes de la politique allemande officielle : « Celui qui n’est pas au courant de la situation posera la question : comment se fait-il que malgré les bienfaits qu’elle a prodigués à la Bosnie, non seulement l’Autriche n’est pas aimée dans ce pays, mais est même carrément détestée par les Serbes qui constituent 42 % de la population ? Seul quelqu’un qui connaît le peuple et la situation comprendra la réponse à cette question : un non-initié, surtout s’il est accoutumé aux idées et aux réalités européennes, l’écoutera bouche-bée sans comprendre. Voici la réponse noir sur blanc : l’administration de la Bosnie fut un gâchis complet dans sa conception et dans ses principes fondamentaux et c’est l’ignorance absolument criminelle qui règne encore en partie aujourd’hui, après plus d’une génération (depuis l’occupation) au sujet de la situation réelle de ce pays, qui en porte la responsabilité. »</w:t>
      </w:r>
    </w:p>
  </w:footnote>
  <w:footnote w:id="6">
    <w:p>
      <w:pPr>
        <w:pStyle w:val="Notedebasdepage"/>
      </w:pPr>
      <w:r>
        <w:rPr>
          <w:rStyle w:val="Appelnotedebasdep"/>
        </w:rPr>
        <w:footnoteRef/>
        <w:t xml:space="preserve"> </w:t>
      </w:r>
      <w:r>
        <w:rPr/>
        <w:t xml:space="preserve">Pourquoi la guerre allemande ? p. 21. L'organe de la clique de l’archiduc « Grande-Autriche » écrivait semaine après semaine des articles incendiaires de ce style :</w:t>
      </w:r>
    </w:p>
    <w:p>
      <w:pPr>
        <w:pStyle w:val="Notedebasdepage"/>
      </w:pPr>
      <w:r>
        <w:rPr/>
        <w:t xml:space="preserve">« Si on veut venger dignement la mort de l’archiduc héritier François-Ferdinand en respectant ses volontés, alors il faut exécuter aussi rapidement que possible le testament politique de cette victime innocente du développement funeste de la situation au sud de l’Empire. »</w:t>
      </w:r>
    </w:p>
    <w:p>
      <w:pPr>
        <w:pStyle w:val="Notedebasdepage"/>
      </w:pPr>
      <w:r>
        <w:rPr/>
        <w:t xml:space="preserve">« Cela fait déjà dix ans que nous attendons d’être enfin délivrés de toutes les tensions accablantes qui se font si cruellement sentir dans toute notre politique. »</w:t>
      </w:r>
    </w:p>
    <w:p>
      <w:pPr>
        <w:pStyle w:val="Notedebasdepage"/>
      </w:pPr>
      <w:r>
        <w:rPr/>
        <w:t xml:space="preserve">« Nous savons que l’Autriche grandiose et nouvelle, la Grande-Autriche qui ira délivrer ses peuples dans l’allégresse, ne pourra naître que par une guerre, et c’est pourquoi nous voulons la guerre. »</w:t>
      </w:r>
    </w:p>
    <w:p>
      <w:pPr>
        <w:pStyle w:val="Notedebasdepage"/>
      </w:pPr>
      <w:r>
        <w:rPr/>
        <w:t xml:space="preserve">« Nous voulons la guerre parce que nous sommes profondément convaincus que seule une guerre nous permettra de réaliser d’une manière radicale et soudaine notre idéal d’une Grande-Autriche puissante où, dans l’éclat lumineux d’un avenir sublime et joyeux, pourront s’épanouir la pensée politique et les projets missionnaires de l’Autriche : apporter la liberté et la civilisation aux peuples des Balkans. »</w:t>
      </w:r>
    </w:p>
    <w:p>
      <w:pPr>
        <w:pStyle w:val="Notedebasdepage"/>
      </w:pPr>
      <w:r>
        <w:rPr/>
        <w:t xml:space="preserve">« Depuis la mort du grand homme dont la main puissante et l’énergie opiniâtre auraient fondé la Grande-Autriche du jour au lendemain, la guerre reste notre seul espoir. »</w:t>
      </w:r>
    </w:p>
    <w:p>
      <w:pPr>
        <w:pStyle w:val="Notedebasdepage"/>
      </w:pPr>
      <w:r>
        <w:rPr/>
        <w:t xml:space="preserve">« C'est notre dernière carte, sur laquelle nous misons tout. »</w:t>
      </w:r>
    </w:p>
    <w:p>
      <w:pPr>
        <w:pStyle w:val="Notedebasdepage"/>
      </w:pPr>
      <w:r>
        <w:rPr/>
        <w:t xml:space="preserve">« Peut-être l’énorme indignation que cet attentat a soulevée en Autriche et en Hongrie provoquera-t-elle une explosion contre la Serbie, et ultérieurement aussi contre la Russie. »</w:t>
      </w:r>
    </w:p>
    <w:p>
      <w:pPr>
        <w:pStyle w:val="Notedebasdepage"/>
      </w:pPr>
      <w:r>
        <w:rPr/>
        <w:t xml:space="preserve">« L'archiduc François-Ferdinand à lui seul n’a pu que préparer cet impérialisme, il n’a pu l’accomplir. Il faut espérer que sa mort aura été le sacrifice nécessaire qui provoquera l’embrasement impérialiste de toute l’Autriche. »</w:t>
      </w:r>
    </w:p>
  </w:footnote>
  <w:footnote w:id="7">
    <w:p>
      <w:pPr>
        <w:pStyle w:val="Notedebasdepage"/>
      </w:pPr>
      <w:r>
        <w:rPr>
          <w:rStyle w:val="Appelnotedebasdep"/>
        </w:rPr>
        <w:footnoteRef/>
        <w:t xml:space="preserve"> </w:t>
      </w:r>
      <w:r>
        <w:rPr/>
        <w:t xml:space="preserve">« Du côté de la politique allemande, on était évidemment informé de ce qui devait se passer, et aujourd’hui, on ne trahit plus un secret en disant que, comme d’autres flottes européennes, les forces navales de l’Allemagne se trouvaient alors sur le pied de guerre, prêtes à intervenir immédiatement. » (Rohrbach, La guerre et la politique allemande, p. 32.)</w:t>
      </w:r>
    </w:p>
  </w:footnote>
  <w:footnote w:id="8">
    <w:p>
      <w:pPr>
        <w:pStyle w:val="Notedebasdepage"/>
      </w:pPr>
      <w:r>
        <w:rPr>
          <w:rStyle w:val="Appelnotedebasdep"/>
        </w:rPr>
        <w:footnoteRef/>
        <w:t xml:space="preserve"> </w:t>
      </w:r>
      <w:r>
        <w:rPr/>
        <w:t xml:space="preserve">Rohrbach, La Guerre et la politique allemande, p. 41.</w:t>
      </w:r>
    </w:p>
  </w:footnote>
  <w:footnote w:id="9">
    <w:p>
      <w:pPr>
        <w:pStyle w:val="Notedebasdepage"/>
      </w:pPr>
      <w:r>
        <w:rPr>
          <w:rStyle w:val="Appelnotedebasdep"/>
        </w:rPr>
        <w:footnoteRef/>
        <w:t xml:space="preserve"> </w:t>
      </w:r>
      <w:r>
        <w:rPr/>
        <w:t xml:space="preserve">Voir l’article de l’organe du parti à Nuremberg, reproduit dans le Hamburger Echo du 6 octobre 1914.</w:t>
      </w:r>
    </w:p>
  </w:footnote>
  <w:footnote w:id="10">
    <w:p>
      <w:pPr>
        <w:pStyle w:val="Notedebasdepage"/>
      </w:pPr>
      <w:r>
        <w:rPr>
          <w:rStyle w:val="Appelnotedebasdep"/>
        </w:rPr>
        <w:footnoteRef/>
        <w:t xml:space="preserve"> </w:t>
      </w:r>
      <w:r>
        <w:rPr/>
        <w:t xml:space="preserve">La </w:t>
      </w:r>
      <w:r>
        <w:rPr>
          <w:i/>
        </w:rPr>
        <w:t xml:space="preserve">Chemnitzer Volkstimme</w:t>
      </w:r>
      <w:r>
        <w:rPr/>
        <w:t xml:space="preserve"> écrivait le 21 octobre 1914 : « En tout cas, la censure militaire en Allemagne est dans l’ensemble plus convenable et plus raisonnable qu’en France ou en Angleterre. Ies hauts cris au sujet de la censure, qui cachent souvent l’absence d’une position cohérente sur le problème de la guerre, ne font qu’aider les ennemis de l’Allemagne à répandre le mensonge selon lequel l’Allemagne serait une seconde Russie. Celui qui croit sérieusement ne pas pouvoir écrire selon ses opinions sous la censure militaire actuelle, il n’a qu’à déposer la la plume et se taire. »</w:t>
      </w:r>
    </w:p>
  </w:footnote>
  <w:footnote w:id="11">
    <w:p>
      <w:pPr>
        <w:pStyle w:val="Notedebasdepage"/>
      </w:pPr>
      <w:r>
        <w:rPr>
          <w:rStyle w:val="Appelnotedebasdep"/>
        </w:rPr>
        <w:footnoteRef/>
        <w:t xml:space="preserve"> </w:t>
      </w:r>
      <w:r>
        <w:rPr/>
        <w:t xml:space="preserve">« Si malgré tout le groupe parlementaire social-démocrate a voté à l’unanimité les crédits de guerre - écrivait l’organe du parti à Munich, le 6 août -, s’il a accompagné de ses vœux ardents tous ceux qui s’en allaient défendre le Reich allemand, ce n’était pas de sa part une " manœuvre tactique ", c’était la conséquence tout à fait naturelle de l’attitude d’un parti qui a toujours été prêt à confier la défense du pays à une armée populaire pour remplacer un système qui lui paraissait refléter la domination de classe plutôt que la volonté de la nation de se défendre contre des attaques insolentes. »</w:t>
      </w:r>
    </w:p>
    <w:p>
      <w:pPr>
        <w:pStyle w:val="Notedebasdepage"/>
      </w:pPr>
      <w:r>
        <w:rPr/>
        <w:t xml:space="preserve">Paraissait !... Dans le Neue Zeit, la guerre actuelle est même directement érigée en « guerre populaire », l’armée permanente en « armée populaire » (voir n° 20 et 23 de août-septembre 1914). L'écrivain militaire social-démocrate Hugo Schulz, dans un compte rendu de guerre du 24 août 1914, fait l’éloge du « puissant esprit de milice » qui « anime » l’armée habsbourgeoise !...</w:t>
      </w:r>
    </w:p>
  </w:footnote>
  <w:footnote w:id="12">
    <w:p>
      <w:pPr>
        <w:pStyle w:val="Notedebasdepage"/>
      </w:pPr>
      <w:r>
        <w:rPr>
          <w:rStyle w:val="Appelnotedebasdep"/>
        </w:rPr>
        <w:footnoteRef/>
        <w:t xml:space="preserve"> </w:t>
      </w:r>
      <w:r>
        <w:rPr/>
        <w:t xml:space="preserve">R. Luxemburg, Grève de masses, parti et syndicats, Hamburg, 1907.</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