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Coutume, consuétude</w:t>
      </w:r>
    </w:p>
  </w:footnote>
  <w:footnote w:id="2">
    <w:p>
      <w:pPr>
        <w:pStyle w:val="Notedebasdepage"/>
      </w:pPr>
      <w:r>
        <w:rPr>
          <w:rStyle w:val="Appelnotedebasdep"/>
        </w:rPr>
        <w:footnoteRef/>
        <w:t xml:space="preserve"> </w:t>
      </w:r>
      <w:r>
        <w:rPr/>
        <w:t xml:space="preserve">Cf. Trois idées politiques, Châteaubriant, Michelet, Sainte-Beuve.</w:t>
      </w:r>
    </w:p>
  </w:footnote>
  <w:footnote w:id="3">
    <w:p>
      <w:pPr>
        <w:pStyle w:val="Notedebasdepage"/>
      </w:pPr>
      <w:r>
        <w:rPr>
          <w:rStyle w:val="Appelnotedebasdep"/>
        </w:rPr>
        <w:footnoteRef/>
        <w:t xml:space="preserve"> </w:t>
      </w:r>
      <w:r>
        <w:rPr/>
        <w:t xml:space="preserve">Léon XIII</w:t>
      </w:r>
    </w:p>
  </w:footnote>
  <w:footnote w:id="4">
    <w:p>
      <w:pPr>
        <w:pStyle w:val="Notedebasdepage"/>
      </w:pPr>
      <w:r>
        <w:rPr>
          <w:rStyle w:val="Appelnotedebasdep"/>
        </w:rPr>
        <w:footnoteRef/>
        <w:t xml:space="preserve"> </w:t>
      </w:r>
      <w:r>
        <w:rPr/>
        <w:t xml:space="preserve">Dès avant l’Enquête sur la monarchie.</w:t>
      </w:r>
    </w:p>
  </w:footnote>
  <w:footnote w:id="5">
    <w:p>
      <w:pPr>
        <w:pStyle w:val="Notedebasdepage"/>
      </w:pPr>
      <w:r>
        <w:rPr>
          <w:rStyle w:val="Appelnotedebasdep"/>
        </w:rPr>
        <w:footnoteRef/>
        <w:t xml:space="preserve"> </w:t>
      </w:r>
      <w:r>
        <w:rPr/>
        <w:t xml:space="preserve">Où vont les Français ?</w:t>
      </w:r>
    </w:p>
  </w:footnote>
  <w:footnote w:id="6">
    <w:p>
      <w:pPr>
        <w:pStyle w:val="Notedebasdepage"/>
      </w:pPr>
      <w:r>
        <w:rPr>
          <w:rStyle w:val="Appelnotedebasdep"/>
        </w:rPr>
        <w:footnoteRef/>
        <w:t xml:space="preserve"> </w:t>
      </w:r>
      <w:r>
        <w:rPr/>
        <w:t xml:space="preserve">Est-ce la vue trop claire de ces saisons trop imminentes qui, en 1939, a rendu tant de politiciens « va-t-en-guerre et boute-feux ? » (Note de 1952).</w:t>
      </w:r>
    </w:p>
  </w:footnote>
  <w:footnote w:id="7">
    <w:p>
      <w:pPr>
        <w:pStyle w:val="Notedebasdepage"/>
      </w:pPr>
      <w:r>
        <w:rPr>
          <w:rStyle w:val="Appelnotedebasdep"/>
        </w:rPr>
        <w:footnoteRef/>
        <w:t xml:space="preserve"> </w:t>
      </w:r>
      <w:r>
        <w:rPr/>
        <w:t xml:space="preserve">Sainte-Beuve</w:t>
      </w:r>
    </w:p>
  </w:footnote>
  <w:footnote w:id="8">
    <w:p>
      <w:pPr>
        <w:pStyle w:val="Notedebasdepage"/>
      </w:pPr>
      <w:r>
        <w:rPr>
          <w:rStyle w:val="Appelnotedebasdep"/>
        </w:rPr>
        <w:footnoteRef/>
        <w:t xml:space="preserve"> </w:t>
      </w:r>
      <w:r>
        <w:rPr/>
        <w:t xml:space="preserve">Ces pages ont été écrites à la Prison de la Santé au début de 1937.</w:t>
      </w:r>
    </w:p>
  </w:footnote>
  <w:footnote w:id="9">
    <w:p>
      <w:pPr>
        <w:pStyle w:val="Notedebasdepage"/>
      </w:pPr>
      <w:r>
        <w:rPr>
          <w:rStyle w:val="Appelnotedebasdep"/>
        </w:rPr>
        <w:footnoteRef/>
        <w:t xml:space="preserve"> </w:t>
      </w:r>
      <w:r>
        <w:rPr/>
        <w:t xml:space="preserve">Le mot est de Jules Guesde.</w:t>
      </w:r>
    </w:p>
  </w:footnote>
  <w:footnote w:id="10">
    <w:p>
      <w:pPr>
        <w:pStyle w:val="Notedebasdepage"/>
      </w:pPr>
      <w:r>
        <w:rPr>
          <w:rStyle w:val="Appelnotedebasdep"/>
        </w:rPr>
        <w:footnoteRef/>
        <w:t xml:space="preserve"> </w:t>
      </w:r>
      <w:r>
        <w:rPr/>
        <w:t xml:space="preserve">Il y a, de temps en temps, des « ajustements » variés. Ils sont vite laissés en arrière par les autres dépenses.</w:t>
      </w:r>
    </w:p>
  </w:footnote>
  <w:footnote w:id="11">
    <w:p>
      <w:pPr>
        <w:pStyle w:val="Notedebasdepage"/>
      </w:pPr>
      <w:r>
        <w:rPr>
          <w:rStyle w:val="Appelnotedebasdep"/>
        </w:rPr>
        <w:footnoteRef/>
        <w:t xml:space="preserve"> </w:t>
      </w:r>
      <w:r>
        <w:rPr/>
        <w:t xml:space="preserve">Les quatre États Confédérés : Dans un conseil des ministres tenu en septembre 1898, comme les derniers adversaires de la révision du procès Dreyfus dénonçaient la puissance des juifs, des protestants et des francs maçons, M. Henri Brisson, président du Conseil et ministre de l’Intérieur, défendit énergiquement les trois groupes mis en cause, et s’écria, au cours de ses déclarations, que les juifs les francs maçons et les protestants étaient L’OSSATURE DU RÉGIME REPUBLICAIN. Pour que cette ossature soit bien complète, il faut y ajouter un groupe injustement omis, par M. Brisson, le groupe étranger des métèques installés en France à la place des Français, et protégés et favorisés par les lois de la République « française ».</w:t>
      </w:r>
    </w:p>
    <w:p>
      <w:pPr>
        <w:pStyle w:val="Notedebasdepage"/>
      </w:pPr>
      <w:r>
        <w:rPr/>
        <w:t xml:space="preserve">Ces quatre oligarchies, de nature profondément internationale toutes, puissantes et régnantes, ont été appelées les quatre États confédérés.</w:t>
      </w:r>
    </w:p>
    <w:p>
      <w:pPr>
        <w:pStyle w:val="Notedebasdepage"/>
      </w:pPr>
      <w:r>
        <w:rPr/>
        <w:t xml:space="preserve">Nous nous rendons d’ailleurs compte qu’il faut faire une distinction entre les protestants, et nous l’avons faite : beaucoup d’entre eux se sont profondément enracinés de cœur et de chair dans la terre de France, ni leur patriotisme, ni leur nationalisme ne peut être mis en cause, mais les plus « avancés » d’entre eux se sont laissés dénationaliser. C’est à une équipe essentiellement protestante que nous devons l’école primaire anarchique, fondation des Buisson, des Pécaut, des Steeg, tout puissants dans l’État.</w:t>
      </w:r>
    </w:p>
  </w:footnote>
  <w:footnote w:id="12">
    <w:p>
      <w:pPr>
        <w:pStyle w:val="Notedebasdepage"/>
      </w:pPr>
      <w:r>
        <w:rPr>
          <w:rStyle w:val="Appelnotedebasdep"/>
        </w:rPr>
        <w:footnoteRef/>
        <w:t xml:space="preserve"> </w:t>
      </w:r>
      <w:r>
        <w:rPr/>
        <w:t xml:space="preserve">c’est cette plus-value que l’expérience Blum n’a pas su provoquer et a même empêchée net (1936-1937).</w:t>
      </w:r>
    </w:p>
  </w:footnote>
  <w:footnote w:id="13">
    <w:p>
      <w:pPr>
        <w:pStyle w:val="Notedebasdepage"/>
      </w:pPr>
      <w:r>
        <w:rPr>
          <w:rStyle w:val="Appelnotedebasdep"/>
        </w:rPr>
        <w:footnoteRef/>
        <w:t xml:space="preserve"> </w:t>
      </w:r>
      <w:r>
        <w:rPr/>
        <w:t xml:space="preserve">L’expérience Blum a procédé à rebours : centralisation, augmentation d’impôts, etc. (1936 1937).</w:t>
      </w:r>
    </w:p>
  </w:footnote>
  <w:footnote w:id="14">
    <w:p>
      <w:pPr>
        <w:pStyle w:val="Notedebasdepage"/>
      </w:pPr>
      <w:r>
        <w:rPr>
          <w:rStyle w:val="Appelnotedebasdep"/>
        </w:rPr>
        <w:footnoteRef/>
        <w:t xml:space="preserve"> </w:t>
      </w:r>
      <w:r>
        <w:rPr/>
        <w:t xml:space="preserve">Ces lignes furent écrites dès 1908, à l’occasion des grèves de Draveil Vigneux. L’organisation du travail corporation et syndicalisme</w:t>
      </w:r>
    </w:p>
  </w:footnote>
  <w:footnote w:id="15">
    <w:p>
      <w:pPr>
        <w:pStyle w:val="Notedebasdepage"/>
      </w:pPr>
      <w:r>
        <w:rPr>
          <w:rStyle w:val="Appelnotedebasdep"/>
        </w:rPr>
        <w:footnoteRef/>
        <w:t xml:space="preserve"> </w:t>
      </w:r>
      <w:r>
        <w:rPr/>
        <w:t xml:space="preserve">Si nous parlons d’ouvriers et de travailleurs français, ne disons pas l’individu. Ce chien est un individu. Cet orme est un individu. Le premier venu des êtres vivants, si bas qu’on le prenne dans l’échelle organique, est un individu. Pour un Homme, pour, un Ouvrier, pour un Français, j’emploie le seul terme convenable, je dis que c’est une personne et, rétablissant le mot propre, je ne fais pas seulement œuvre de grammairien, je préviens une erreur que la logique imposerait : car si l’individu est dieu, on ne met pas de laisse à cet individu chien on ne met pas de broche en travers de cet individu poulet, on ne jette pas cet individu blé sous la meule.</w:t>
      </w:r>
    </w:p>
  </w:footnote>
  <w:footnote w:id="16">
    <w:p>
      <w:pPr>
        <w:pStyle w:val="Notedebasdepage"/>
      </w:pPr>
      <w:r>
        <w:rPr>
          <w:rStyle w:val="Appelnotedebasdep"/>
        </w:rPr>
        <w:footnoteRef/>
        <w:t xml:space="preserve"> </w:t>
      </w:r>
      <w:r>
        <w:rPr/>
        <w:t xml:space="preserve">Voici le texte de l’article III de la loi Le Chapelier, an II : </w:t>
      </w:r>
      <w:r>
        <w:br/>
      </w:r>
      <w:r>
        <w:rPr/>
        <w:t xml:space="preserve">« </w:t>
      </w:r>
      <w:r>
        <w:rPr>
          <w:i/>
        </w:rPr>
        <w:t xml:space="preserve">Si, contre les principes de la Liberté et de la Constitution, des citoyens attachés aux mêmes professions, arts et métiers, prenaient des délibérations ou faisaient des conventions tendant à refuser de concert ou à n’accepter qu’à un prix déterminé le secours de leur industrie ou de leurs travaux, lesdites délibérations ou conventions, accompagnées ou non de serments, sont déclarées inconstitutionnelles, attentatoires à la Liberté et à la Déclaration des Droits de l’Homme et de nul effet</w:t>
      </w:r>
      <w:r>
        <w:rPr/>
        <w:t xml:space="preserve"> ».</w:t>
      </w:r>
    </w:p>
    <w:p>
      <w:pPr>
        <w:pStyle w:val="Notedebasdepage"/>
      </w:pPr>
      <w:r>
        <w:rPr/>
        <w:t xml:space="preserve">Les ouvriers et journaliers furent en outre avisés, par un arrêté du Comité de Salut public, deuxième jour de prairial an II, que tous ceux qui se coaliseraient sur le terrain professionnel pour défendre leurs prétendus intérêts communs seraient traduits devant le tribunal révolutionnaire.</w:t>
      </w:r>
    </w:p>
    <w:p>
      <w:pPr>
        <w:pStyle w:val="Notedebasdepage"/>
      </w:pPr>
      <w:r>
        <w:rPr/>
        <w:t xml:space="preserve">Une pétition fut adressée à l’Assemblée Nationale par des milliers d’ouvriers de toutes les corporations ; Le Chapelier la fit rejeter, et il fit décréter que les réunions d’ouvriers étaient inconstitutionnelles. Enfin, à la tribune, il proclama qu’il n’y avait plus que l’intérêt particulier de chaque Individu et l’intérêt général du gouvernement.</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