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Les </w:t>
      </w:r>
      <w:r>
        <w:rPr>
          <w:rStyle w:val="title-c"/>
        </w:rPr>
        <w:t>Bourla-Papey</w:t>
      </w:r>
      <w:r>
        <w:rPr/>
        <w:t xml:space="preserve">, par A. de Bougy.</w:t>
      </w:r>
    </w:p>
  </w:footnote>
  <w:footnote w:id="2">
    <w:p>
      <w:pPr>
        <w:pStyle w:val="Notedebasdepage"/>
      </w:pPr>
      <w:r>
        <w:rPr>
          <w:rStyle w:val="Appelnotedebasdep"/>
        </w:rPr>
        <w:footnoteRef/>
        <w:t xml:space="preserve"> </w:t>
      </w:r>
      <w:r>
        <w:rPr/>
        <w:t xml:space="preserve">Ce nombre ne fut pas maintenu. La division du territoire fut modifiée très souvent. Plusieurs cantons furent parfois réunis en un seul.</w:t>
      </w:r>
    </w:p>
  </w:footnote>
  <w:footnote w:id="3">
    <w:p>
      <w:pPr>
        <w:pStyle w:val="Notedebasdepage"/>
      </w:pPr>
      <w:r>
        <w:rPr>
          <w:rStyle w:val="Appelnotedebasdep"/>
        </w:rPr>
        <w:footnoteRef/>
        <w:t xml:space="preserve"> </w:t>
      </w:r>
      <w:r>
        <w:rPr/>
        <w:t xml:space="preserve">H. Monod, </w:t>
      </w:r>
      <w:r>
        <w:rPr>
          <w:i/>
        </w:rPr>
        <w:t xml:space="preserve">Mémoires I</w:t>
      </w:r>
      <w:r>
        <w:rPr/>
        <w:t xml:space="preserve"> 143-144.</w:t>
      </w:r>
    </w:p>
  </w:footnote>
  <w:footnote w:id="4">
    <w:p>
      <w:pPr>
        <w:pStyle w:val="Notedebasdepage"/>
      </w:pPr>
      <w:r>
        <w:rPr>
          <w:rStyle w:val="Appelnotedebasdep"/>
        </w:rPr>
        <w:footnoteRef/>
        <w:t xml:space="preserve"> </w:t>
      </w:r>
      <w:r>
        <w:rPr/>
        <w:t xml:space="preserve">Décret du 8 juin 1798.</w:t>
      </w:r>
    </w:p>
  </w:footnote>
  <w:footnote w:id="5">
    <w:p>
      <w:pPr>
        <w:pStyle w:val="Notedebasdepage"/>
      </w:pPr>
      <w:r>
        <w:rPr>
          <w:rStyle w:val="Appelnotedebasdep"/>
        </w:rPr>
        <w:footnoteRef/>
        <w:t xml:space="preserve"> </w:t>
      </w:r>
      <w:r>
        <w:rPr/>
        <w:t xml:space="preserve">Lettre au Directoire, 13 novembre 1798.</w:t>
      </w:r>
    </w:p>
  </w:footnote>
  <w:footnote w:id="6">
    <w:p>
      <w:pPr>
        <w:pStyle w:val="Notedebasdepage"/>
      </w:pPr>
      <w:r>
        <w:rPr>
          <w:rStyle w:val="Appelnotedebasdep"/>
        </w:rPr>
        <w:footnoteRef/>
        <w:t xml:space="preserve"> </w:t>
      </w:r>
      <w:r>
        <w:rPr/>
        <w:t xml:space="preserve">Monnard XVI, 297-298.</w:t>
      </w:r>
    </w:p>
  </w:footnote>
  <w:footnote w:id="7">
    <w:p>
      <w:pPr>
        <w:pStyle w:val="Notedebasdepage"/>
      </w:pPr>
      <w:r>
        <w:rPr>
          <w:rStyle w:val="Appelnotedebasdep"/>
        </w:rPr>
        <w:footnoteRef/>
        <w:t xml:space="preserve"> </w:t>
      </w:r>
      <w:r>
        <w:rPr/>
        <w:t xml:space="preserve">Adresse du 10 juin 1799.</w:t>
      </w:r>
    </w:p>
  </w:footnote>
  <w:footnote w:id="8">
    <w:p>
      <w:pPr>
        <w:pStyle w:val="Notedebasdepage"/>
      </w:pPr>
      <w:r>
        <w:rPr>
          <w:rStyle w:val="Appelnotedebasdep"/>
        </w:rPr>
        <w:footnoteRef/>
        <w:t xml:space="preserve"> </w:t>
      </w:r>
      <w:r>
        <w:rPr/>
        <w:t xml:space="preserve">Lettre du 3 septembre 1800.</w:t>
      </w:r>
    </w:p>
  </w:footnote>
  <w:footnote w:id="9">
    <w:p>
      <w:pPr>
        <w:pStyle w:val="Notedebasdepage"/>
      </w:pPr>
      <w:r>
        <w:rPr>
          <w:rStyle w:val="Appelnotedebasdep"/>
        </w:rPr>
        <w:footnoteRef/>
        <w:t xml:space="preserve"> </w:t>
      </w:r>
      <w:r>
        <w:rPr/>
        <w:t xml:space="preserve">« L’exaspération contre le gouvernement fut telle dans cette assemblée que les délégués de la Côte déclarèrent que leurs commettants préféraient une réunion à La France plutôt que d’être aussi malmenés par des Allemands et des aristocrates ». Verdeil III, 388.</w:t>
      </w:r>
    </w:p>
  </w:footnote>
  <w:footnote w:id="10">
    <w:p>
      <w:pPr>
        <w:pStyle w:val="Notedebasdepage"/>
      </w:pPr>
      <w:r>
        <w:rPr>
          <w:rStyle w:val="Appelnotedebasdep"/>
        </w:rPr>
        <w:footnoteRef/>
        <w:t xml:space="preserve"> </w:t>
      </w:r>
      <w:r>
        <w:rPr/>
        <w:t xml:space="preserve">Lettre du 26 septembre.</w:t>
      </w:r>
    </w:p>
  </w:footnote>
  <w:footnote w:id="11">
    <w:p>
      <w:pPr>
        <w:pStyle w:val="Notedebasdepage"/>
      </w:pPr>
      <w:r>
        <w:rPr>
          <w:rStyle w:val="Appelnotedebasdep"/>
        </w:rPr>
        <w:footnoteRef/>
        <w:t xml:space="preserve"> </w:t>
      </w:r>
      <w:r>
        <w:rPr/>
        <w:t xml:space="preserve">Adresse du 29 novembre 1800.</w:t>
      </w:r>
    </w:p>
  </w:footnote>
  <w:footnote w:id="12">
    <w:p>
      <w:pPr>
        <w:pStyle w:val="Notedebasdepage"/>
      </w:pPr>
      <w:r>
        <w:rPr>
          <w:rStyle w:val="Appelnotedebasdep"/>
        </w:rPr>
        <w:footnoteRef/>
        <w:t xml:space="preserve"> </w:t>
      </w:r>
      <w:r>
        <w:rPr/>
        <w:t xml:space="preserve">Les nouvelles autorités centrales n’avaient pas été organisées et nommées d’après les formes prévues par la constitution de 1798, qui n’avait pas encore été remplacée.</w:t>
      </w:r>
    </w:p>
  </w:footnote>
  <w:footnote w:id="13">
    <w:p>
      <w:pPr>
        <w:pStyle w:val="Notedebasdepage"/>
      </w:pPr>
      <w:r>
        <w:rPr>
          <w:rStyle w:val="Appelnotedebasdep"/>
        </w:rPr>
        <w:footnoteRef/>
        <w:t xml:space="preserve"> </w:t>
      </w:r>
      <w:r>
        <w:rPr/>
        <w:t xml:space="preserve">J. Olivier : </w:t>
      </w:r>
      <w:r>
        <w:rPr>
          <w:i/>
        </w:rPr>
        <w:t xml:space="preserve">Hist. de la Révol. helv.</w:t>
      </w:r>
      <w:r>
        <w:rPr/>
        <w:t xml:space="preserve"> 221.</w:t>
      </w:r>
    </w:p>
  </w:footnote>
  <w:footnote w:id="14">
    <w:p>
      <w:pPr>
        <w:pStyle w:val="Notedebasdepage"/>
      </w:pPr>
      <w:r>
        <w:rPr>
          <w:rStyle w:val="Appelnotedebasdep"/>
        </w:rPr>
        <w:footnoteRef/>
        <w:t xml:space="preserve"> </w:t>
      </w:r>
      <w:r>
        <w:rPr/>
        <w:t xml:space="preserve">Communication du 6 décembre 1800.</w:t>
      </w:r>
    </w:p>
  </w:footnote>
  <w:footnote w:id="15">
    <w:p>
      <w:pPr>
        <w:pStyle w:val="Notedebasdepage"/>
      </w:pPr>
      <w:r>
        <w:rPr>
          <w:rStyle w:val="Appelnotedebasdep"/>
        </w:rPr>
        <w:footnoteRef/>
        <w:t xml:space="preserve"> </w:t>
      </w:r>
      <w:r>
        <w:rPr/>
        <w:t xml:space="preserve">Lettre du 27 décembre 1800, écrite par Polier.</w:t>
      </w:r>
    </w:p>
  </w:footnote>
  <w:footnote w:id="16">
    <w:p>
      <w:pPr>
        <w:pStyle w:val="Notedebasdepage"/>
      </w:pPr>
      <w:r>
        <w:rPr>
          <w:rStyle w:val="Appelnotedebasdep"/>
        </w:rPr>
        <w:footnoteRef/>
        <w:t xml:space="preserve"> </w:t>
      </w:r>
      <w:r>
        <w:rPr/>
        <w:t xml:space="preserve">J.-J. Cart : </w:t>
      </w:r>
      <w:r>
        <w:rPr>
          <w:i/>
        </w:rPr>
        <w:t xml:space="preserve">Quelques mots sur le projet de la Commission diétale du Canton de Vaud.</w:t>
      </w:r>
    </w:p>
  </w:footnote>
  <w:footnote w:id="17">
    <w:p>
      <w:pPr>
        <w:pStyle w:val="Notedebasdepage"/>
      </w:pPr>
      <w:r>
        <w:rPr>
          <w:rStyle w:val="Appelnotedebasdep"/>
        </w:rPr>
        <w:footnoteRef/>
        <w:t xml:space="preserve"> </w:t>
      </w:r>
      <w:r>
        <w:rPr/>
        <w:t xml:space="preserve">Monod : </w:t>
      </w:r>
      <w:r>
        <w:rPr>
          <w:i/>
        </w:rPr>
        <w:t xml:space="preserve">Mémoires</w:t>
      </w:r>
      <w:r>
        <w:rPr/>
        <w:t xml:space="preserve"> I, 204-205.</w:t>
      </w:r>
    </w:p>
  </w:footnote>
  <w:footnote w:id="18">
    <w:p>
      <w:pPr>
        <w:pStyle w:val="Notedebasdepage"/>
      </w:pPr>
      <w:r>
        <w:rPr>
          <w:rStyle w:val="Appelnotedebasdep"/>
        </w:rPr>
        <w:footnoteRef/>
        <w:t xml:space="preserve"> </w:t>
      </w:r>
      <w:r>
        <w:rPr/>
        <w:t xml:space="preserve">Verdeil III, 398.</w:t>
      </w:r>
    </w:p>
  </w:footnote>
  <w:footnote w:id="19">
    <w:p>
      <w:pPr>
        <w:pStyle w:val="Notedebasdepage"/>
      </w:pPr>
      <w:r>
        <w:rPr>
          <w:rStyle w:val="Appelnotedebasdep"/>
        </w:rPr>
        <w:footnoteRef/>
        <w:t xml:space="preserve"> </w:t>
      </w:r>
      <w:r>
        <w:rPr/>
        <w:t xml:space="preserve">Seigneux : </w:t>
      </w:r>
      <w:r>
        <w:rPr>
          <w:i/>
        </w:rPr>
        <w:t xml:space="preserve">Précis historique</w:t>
      </w:r>
      <w:r>
        <w:rPr/>
        <w:t xml:space="preserve"> II, 63.</w:t>
      </w:r>
    </w:p>
  </w:footnote>
  <w:footnote w:id="20">
    <w:p>
      <w:pPr>
        <w:pStyle w:val="Notedebasdepage"/>
      </w:pPr>
      <w:r>
        <w:rPr>
          <w:rStyle w:val="Appelnotedebasdep"/>
        </w:rPr>
        <w:footnoteRef/>
        <w:t xml:space="preserve"> </w:t>
      </w:r>
      <w:r>
        <w:rPr/>
        <w:t xml:space="preserve">J.-J. Cart : </w:t>
      </w:r>
      <w:r>
        <w:rPr>
          <w:i/>
        </w:rPr>
        <w:t xml:space="preserve">De la Suisse avant la Révolution et pendant la Révolution.</w:t>
      </w:r>
    </w:p>
  </w:footnote>
  <w:footnote w:id="21">
    <w:p>
      <w:pPr>
        <w:pStyle w:val="Notedebasdepage"/>
      </w:pPr>
      <w:r>
        <w:rPr>
          <w:rStyle w:val="Appelnotedebasdep"/>
        </w:rPr>
        <w:footnoteRef/>
        <w:t xml:space="preserve"> </w:t>
      </w:r>
      <w:r>
        <w:rPr/>
        <w:t xml:space="preserve">Monod : </w:t>
      </w:r>
      <w:r>
        <w:rPr>
          <w:i/>
        </w:rPr>
        <w:t xml:space="preserve">Mémoires</w:t>
      </w:r>
      <w:r>
        <w:rPr/>
        <w:t xml:space="preserve"> I, 205.</w:t>
      </w:r>
    </w:p>
  </w:footnote>
  <w:footnote w:id="22">
    <w:p>
      <w:pPr>
        <w:pStyle w:val="Notedebasdepage"/>
      </w:pPr>
      <w:r>
        <w:rPr>
          <w:rStyle w:val="Appelnotedebasdep"/>
        </w:rPr>
        <w:footnoteRef/>
        <w:t xml:space="preserve"> </w:t>
      </w:r>
      <w:r>
        <w:rPr/>
        <w:t xml:space="preserve">Rapport du 14 juillet 1802 au Conseil Exécutif.</w:t>
      </w:r>
    </w:p>
  </w:footnote>
  <w:footnote w:id="23">
    <w:p>
      <w:pPr>
        <w:pStyle w:val="Notedebasdepage"/>
      </w:pPr>
      <w:r>
        <w:rPr>
          <w:rStyle w:val="Appelnotedebasdep"/>
        </w:rPr>
        <w:footnoteRef/>
        <w:t xml:space="preserve"> </w:t>
      </w:r>
      <w:r>
        <w:rPr/>
        <w:t xml:space="preserve">Receveur de M. de St-Saphorin.</w:t>
      </w:r>
    </w:p>
  </w:footnote>
  <w:footnote w:id="24">
    <w:p>
      <w:pPr>
        <w:pStyle w:val="Notedebasdepage"/>
      </w:pPr>
      <w:r>
        <w:rPr>
          <w:rStyle w:val="Appelnotedebasdep"/>
        </w:rPr>
        <w:footnoteRef/>
        <w:t xml:space="preserve"> </w:t>
      </w:r>
      <w:r>
        <w:rPr>
          <w:i/>
        </w:rPr>
        <w:t xml:space="preserve">In memoriam</w:t>
      </w:r>
      <w:r>
        <w:rPr/>
        <w:t xml:space="preserve">, Jean-Daniel, 3</w:t>
      </w:r>
      <w:r>
        <w:rPr>
          <w:vertAlign w:val="superscript"/>
        </w:rPr>
        <w:t>e</w:t>
      </w:r>
      <w:r>
        <w:rPr/>
        <w:t xml:space="preserve"> édition, p. 26-28.</w:t>
      </w:r>
    </w:p>
  </w:footnote>
  <w:footnote w:id="25">
    <w:p>
      <w:pPr>
        <w:pStyle w:val="Notedebasdepage"/>
      </w:pPr>
      <w:r>
        <w:rPr>
          <w:rStyle w:val="Appelnotedebasdep"/>
        </w:rPr>
        <w:footnoteRef/>
        <w:t xml:space="preserve"> </w:t>
      </w:r>
      <w:r>
        <w:rPr/>
        <w:t xml:space="preserve">Le sous-préfet d’Orbe, Thomasset, à Polier, 31 mars.</w:t>
      </w:r>
    </w:p>
  </w:footnote>
  <w:footnote w:id="26">
    <w:p>
      <w:pPr>
        <w:pStyle w:val="Notedebasdepage"/>
      </w:pPr>
      <w:r>
        <w:rPr>
          <w:rStyle w:val="Appelnotedebasdep"/>
        </w:rPr>
        <w:footnoteRef/>
        <w:t xml:space="preserve"> </w:t>
      </w:r>
      <w:r>
        <w:rPr/>
        <w:t xml:space="preserve">Les </w:t>
      </w:r>
      <w:r>
        <w:rPr>
          <w:i/>
        </w:rPr>
        <w:t xml:space="preserve">Bourla-Papay. Journal de Ami Rigot de Begnins. Gaz. de Lausanne.</w:t>
      </w:r>
      <w:r>
        <w:rPr/>
        <w:t xml:space="preserve"> 1857.</w:t>
      </w:r>
    </w:p>
  </w:footnote>
  <w:footnote w:id="27">
    <w:p>
      <w:pPr>
        <w:pStyle w:val="Notedebasdepage"/>
      </w:pPr>
      <w:r>
        <w:rPr>
          <w:rStyle w:val="Appelnotedebasdep"/>
        </w:rPr>
        <w:footnoteRef/>
        <w:t xml:space="preserve"> </w:t>
      </w:r>
      <w:r>
        <w:rPr/>
        <w:t xml:space="preserve">Le 8 au soir, il y eut en effet un commencement d’alerte à Cossonay où la cloche du feu fut sonnée avec le secours des citoyens Duchat, ex-sous-préfet et Solliard, ex-greffier. Les jeunes gens de Penthalaz survinrent bientôt avec des gourdins qui remplaçaient, pour les initiés, les pompes à feu. L’affaire fut manquée.</w:t>
      </w:r>
    </w:p>
  </w:footnote>
  <w:footnote w:id="28">
    <w:p>
      <w:pPr>
        <w:pStyle w:val="Notedebasdepage"/>
      </w:pPr>
      <w:r>
        <w:rPr>
          <w:rStyle w:val="Appelnotedebasdep"/>
        </w:rPr>
        <w:footnoteRef/>
        <w:t xml:space="preserve"> </w:t>
      </w:r>
      <w:r>
        <w:rPr/>
        <w:t xml:space="preserve">Lettre de L. Frossard de Saugy, sénateur, au Préfet Polier. 27 décembre 1799.</w:t>
      </w:r>
    </w:p>
  </w:footnote>
  <w:footnote w:id="29">
    <w:p>
      <w:pPr>
        <w:pStyle w:val="Notedebasdepage"/>
      </w:pPr>
      <w:r>
        <w:rPr>
          <w:rStyle w:val="Appelnotedebasdep"/>
        </w:rPr>
        <w:footnoteRef/>
        <w:t xml:space="preserve"> </w:t>
      </w:r>
      <w:r>
        <w:rPr/>
        <w:t xml:space="preserve">Je crois, pardieu, qu’ils nous ont donné un mois d’avril.</w:t>
      </w:r>
    </w:p>
  </w:footnote>
  <w:footnote w:id="30">
    <w:p>
      <w:pPr>
        <w:pStyle w:val="Notedebasdepage"/>
      </w:pPr>
      <w:r>
        <w:rPr>
          <w:rStyle w:val="Appelnotedebasdep"/>
        </w:rPr>
        <w:footnoteRef/>
        <w:t xml:space="preserve"> </w:t>
      </w:r>
      <w:r>
        <w:rPr/>
        <w:t xml:space="preserve">Lettre du 2 mai.</w:t>
      </w:r>
    </w:p>
  </w:footnote>
  <w:footnote w:id="31">
    <w:p>
      <w:pPr>
        <w:pStyle w:val="Notedebasdepage"/>
      </w:pPr>
      <w:r>
        <w:rPr>
          <w:rStyle w:val="Appelnotedebasdep"/>
        </w:rPr>
        <w:footnoteRef/>
        <w:t xml:space="preserve"> </w:t>
      </w:r>
      <w:r>
        <w:rPr/>
        <w:t xml:space="preserve">Voir </w:t>
      </w:r>
      <w:r>
        <w:rPr>
          <w:i/>
        </w:rPr>
        <w:t xml:space="preserve">La Presse périodique vaudoise</w:t>
      </w:r>
      <w:r>
        <w:rPr/>
        <w:t xml:space="preserve">, par J. Chavannes dans la Bibl. universelle et Revue suisse de nov. 1863.</w:t>
      </w:r>
    </w:p>
  </w:footnote>
  <w:footnote w:id="32">
    <w:p>
      <w:pPr>
        <w:pStyle w:val="Notedebasdepage"/>
      </w:pPr>
      <w:r>
        <w:rPr>
          <w:rStyle w:val="Appelnotedebasdep"/>
        </w:rPr>
        <w:footnoteRef/>
        <w:t xml:space="preserve"> </w:t>
      </w:r>
      <w:r>
        <w:rPr/>
        <w:t xml:space="preserve">Marteau en fonte dont on se sert pour casser des pierres.</w:t>
      </w:r>
    </w:p>
  </w:footnote>
  <w:footnote w:id="33">
    <w:p>
      <w:pPr>
        <w:pStyle w:val="Notedebasdepage"/>
      </w:pPr>
      <w:r>
        <w:rPr>
          <w:rStyle w:val="Appelnotedebasdep"/>
        </w:rPr>
        <w:footnoteRef/>
        <w:t xml:space="preserve"> </w:t>
      </w:r>
      <w:r>
        <w:rPr/>
        <w:t xml:space="preserve">J.-J. Cart : De </w:t>
      </w:r>
      <w:r>
        <w:rPr>
          <w:i/>
        </w:rPr>
        <w:t xml:space="preserve">la Suisse avant la Révolution et pendant la Révolution.</w:t>
      </w:r>
    </w:p>
  </w:footnote>
  <w:footnote w:id="34">
    <w:p>
      <w:pPr>
        <w:pStyle w:val="Notedebasdepage"/>
      </w:pPr>
      <w:r>
        <w:rPr>
          <w:rStyle w:val="Appelnotedebasdep"/>
        </w:rPr>
        <w:footnoteRef/>
        <w:t xml:space="preserve"> </w:t>
      </w:r>
      <w:r>
        <w:rPr/>
        <w:t xml:space="preserve">On verra facilement dans cette phrase une attaque violente contre la politique du Préfet Polier qui occupait cet emploi depuis 1796.</w:t>
      </w:r>
    </w:p>
  </w:footnote>
  <w:footnote w:id="35">
    <w:p>
      <w:pPr>
        <w:pStyle w:val="Notedebasdepage"/>
      </w:pPr>
      <w:r>
        <w:rPr>
          <w:rStyle w:val="Appelnotedebasdep"/>
        </w:rPr>
        <w:footnoteRef/>
        <w:t xml:space="preserve"> </w:t>
      </w:r>
      <w:r>
        <w:rPr/>
        <w:t xml:space="preserve">Le fils aîné du général Amédée de la Harpe.</w:t>
      </w:r>
    </w:p>
  </w:footnote>
  <w:footnote w:id="36">
    <w:p>
      <w:pPr>
        <w:pStyle w:val="Notedebasdepage"/>
      </w:pPr>
      <w:r>
        <w:rPr>
          <w:rStyle w:val="Appelnotedebasdep"/>
        </w:rPr>
        <w:footnoteRef/>
        <w:t xml:space="preserve"> </w:t>
      </w:r>
      <w:r>
        <w:rPr/>
        <w:t xml:space="preserve">Ce fait est raconté d’après le rapport présenté le lendemain matin par Kuhn au Petit Conseil. La plupart des récits de cette journée représentent Reymond et sa troupe pénétrant dans la rue de Bourg où habitait le Préfet national et au-dessus de laquelle la colonne des </w:t>
      </w:r>
      <w:r>
        <w:rPr>
          <w:i/>
        </w:rPr>
        <w:t xml:space="preserve">Bourla-Papey</w:t>
      </w:r>
      <w:r>
        <w:rPr/>
        <w:t xml:space="preserve"> fut arrêtée par un bataillon helvétique descendant Martheray.</w:t>
      </w:r>
    </w:p>
  </w:footnote>
  <w:footnote w:id="37">
    <w:p>
      <w:pPr>
        <w:pStyle w:val="Notedebasdepage"/>
      </w:pPr>
      <w:r>
        <w:rPr>
          <w:rStyle w:val="Appelnotedebasdep"/>
        </w:rPr>
        <w:footnoteRef/>
        <w:t xml:space="preserve"> </w:t>
      </w:r>
      <w:r>
        <w:rPr/>
        <w:t xml:space="preserve">Rapport de Kuhn au Petit Conseil.</w:t>
      </w:r>
    </w:p>
  </w:footnote>
  <w:footnote w:id="38">
    <w:p>
      <w:pPr>
        <w:pStyle w:val="Notedebasdepage"/>
      </w:pPr>
      <w:r>
        <w:rPr>
          <w:rStyle w:val="Appelnotedebasdep"/>
        </w:rPr>
        <w:footnoteRef/>
        <w:t xml:space="preserve"> </w:t>
      </w:r>
      <w:r>
        <w:rPr/>
        <w:t xml:space="preserve">Choix de lettres et documents tirés de papiers de famille, II. 52. On aura reconnu le « grand arbre » dans la personne du Préfet Polier.</w:t>
      </w:r>
    </w:p>
  </w:footnote>
  <w:footnote w:id="39">
    <w:p>
      <w:pPr>
        <w:pStyle w:val="Notedebasdepage"/>
      </w:pPr>
      <w:r>
        <w:rPr>
          <w:rStyle w:val="Appelnotedebasdep"/>
        </w:rPr>
        <w:footnoteRef/>
        <w:t xml:space="preserve"> </w:t>
      </w:r>
      <w:r>
        <w:rPr/>
        <w:t xml:space="preserve">Lettre de J. Muret au Commissaire Kuhn, dans </w:t>
      </w:r>
      <w:r>
        <w:rPr>
          <w:i/>
        </w:rPr>
        <w:t xml:space="preserve">Papiers…</w:t>
      </w:r>
      <w:r>
        <w:rPr/>
        <w:t xml:space="preserve">, etc.</w:t>
      </w:r>
    </w:p>
  </w:footnote>
  <w:footnote w:id="40">
    <w:p>
      <w:pPr>
        <w:pStyle w:val="Notedebasdepage"/>
      </w:pPr>
      <w:r>
        <w:rPr>
          <w:rStyle w:val="Appelnotedebasdep"/>
        </w:rPr>
        <w:footnoteRef/>
        <w:t xml:space="preserve"> </w:t>
      </w:r>
      <w:r>
        <w:rPr/>
        <w:t xml:space="preserve">Archives de Morges. Parmi les signataires de cette réquisition, on lit les noms de Muret-Fasnacht, président du tribunal de district ; Muret-Baron, ex-sénateur ; Henri Warnery, juge de district ; Guex, greffier de district ; M.-J. Devenoge, « ministre du culte » ; P. Devenoge, membre de la Diète cantonale ; Claude Mandrot, Jaïn, etc.</w:t>
      </w:r>
    </w:p>
  </w:footnote>
  <w:footnote w:id="41">
    <w:p>
      <w:pPr>
        <w:pStyle w:val="Notedebasdepage"/>
      </w:pPr>
      <w:r>
        <w:rPr>
          <w:rStyle w:val="Appelnotedebasdep"/>
        </w:rPr>
        <w:footnoteRef/>
        <w:t xml:space="preserve"> </w:t>
      </w:r>
      <w:r>
        <w:rPr/>
        <w:t xml:space="preserve">Lettre du 12 mai au Petit Conseil.</w:t>
      </w:r>
    </w:p>
  </w:footnote>
  <w:footnote w:id="42">
    <w:p>
      <w:pPr>
        <w:pStyle w:val="Notedebasdepage"/>
      </w:pPr>
      <w:r>
        <w:rPr>
          <w:rStyle w:val="Appelnotedebasdep"/>
        </w:rPr>
        <w:footnoteRef/>
        <w:t xml:space="preserve"> </w:t>
      </w:r>
      <w:r>
        <w:rPr/>
        <w:t xml:space="preserve">Cette amende fut d’abord fixée à deux écus neufs, mais fut bientôt trouvée un peu trop forte.</w:t>
      </w:r>
    </w:p>
  </w:footnote>
  <w:footnote w:id="43">
    <w:p>
      <w:pPr>
        <w:pStyle w:val="Notedebasdepage"/>
      </w:pPr>
      <w:r>
        <w:rPr>
          <w:rStyle w:val="Appelnotedebasdep"/>
        </w:rPr>
        <w:footnoteRef/>
        <w:t xml:space="preserve"> </w:t>
      </w:r>
      <w:r>
        <w:rPr/>
        <w:t xml:space="preserve">Archives d’Yverdon.</w:t>
      </w:r>
    </w:p>
  </w:footnote>
  <w:footnote w:id="44">
    <w:p>
      <w:pPr>
        <w:pStyle w:val="Notedebasdepage"/>
      </w:pPr>
      <w:r>
        <w:rPr>
          <w:rStyle w:val="Appelnotedebasdep"/>
        </w:rPr>
        <w:footnoteRef/>
        <w:t xml:space="preserve"> </w:t>
      </w:r>
      <w:r>
        <w:rPr/>
        <w:t xml:space="preserve">Voir </w:t>
      </w:r>
      <w:r>
        <w:rPr>
          <w:i/>
        </w:rPr>
        <w:t xml:space="preserve">Nouvelliste vaudois</w:t>
      </w:r>
      <w:r>
        <w:rPr/>
        <w:t xml:space="preserve"> du 28 mai et du 8 juin. Voir aussi J. Olivier : </w:t>
      </w:r>
      <w:r>
        <w:rPr>
          <w:i/>
        </w:rPr>
        <w:t xml:space="preserve">Hist. de la Révolution helv. dans le canton de Vaud ou du Léman, 232.</w:t>
      </w:r>
    </w:p>
  </w:footnote>
  <w:footnote w:id="45">
    <w:p>
      <w:pPr>
        <w:pStyle w:val="Notedebasdepage"/>
      </w:pPr>
      <w:r>
        <w:rPr>
          <w:rStyle w:val="Appelnotedebasdep"/>
        </w:rPr>
        <w:footnoteRef/>
        <w:t xml:space="preserve"> </w:t>
      </w:r>
      <w:r>
        <w:rPr/>
        <w:t xml:space="preserve">Louis Dufour fut pasteur à Goumoêns de 1800 à 1831.</w:t>
      </w:r>
    </w:p>
  </w:footnote>
  <w:footnote w:id="46">
    <w:p>
      <w:pPr>
        <w:pStyle w:val="Notedebasdepage"/>
      </w:pPr>
      <w:r>
        <w:rPr>
          <w:rStyle w:val="Appelnotedebasdep"/>
        </w:rPr>
        <w:footnoteRef/>
        <w:t xml:space="preserve"> </w:t>
      </w:r>
      <w:r>
        <w:rPr/>
        <w:t xml:space="preserve">Rapport du citoyen de Goumoëns.</w:t>
      </w:r>
    </w:p>
  </w:footnote>
  <w:footnote w:id="47">
    <w:p>
      <w:pPr>
        <w:pStyle w:val="Notedebasdepage"/>
      </w:pPr>
      <w:r>
        <w:rPr>
          <w:rStyle w:val="Appelnotedebasdep"/>
        </w:rPr>
        <w:footnoteRef/>
        <w:t xml:space="preserve"> </w:t>
      </w:r>
      <w:r>
        <w:rPr/>
        <w:t xml:space="preserve">Pompes à feu.</w:t>
      </w:r>
    </w:p>
  </w:footnote>
  <w:footnote w:id="48">
    <w:p>
      <w:pPr>
        <w:pStyle w:val="Notedebasdepage"/>
      </w:pPr>
      <w:r>
        <w:rPr>
          <w:rStyle w:val="Appelnotedebasdep"/>
        </w:rPr>
        <w:footnoteRef/>
        <w:t xml:space="preserve"> </w:t>
      </w:r>
      <w:r>
        <w:rPr>
          <w:i/>
        </w:rPr>
        <w:t xml:space="preserve">Nouvelliste Vaudois</w:t>
      </w:r>
      <w:r>
        <w:rPr/>
        <w:t xml:space="preserve"> du 1</w:t>
      </w:r>
      <w:r>
        <w:rPr>
          <w:vertAlign w:val="superscript"/>
        </w:rPr>
        <w:t>er</w:t>
      </w:r>
      <w:r>
        <w:rPr/>
        <w:t xml:space="preserve"> juin 1802.</w:t>
      </w:r>
    </w:p>
  </w:footnote>
  <w:footnote w:id="49">
    <w:p>
      <w:pPr>
        <w:pStyle w:val="Notedebasdepage"/>
      </w:pPr>
      <w:r>
        <w:rPr>
          <w:rStyle w:val="Appelnotedebasdep"/>
        </w:rPr>
        <w:footnoteRef/>
        <w:t xml:space="preserve"> </w:t>
      </w:r>
      <w:r>
        <w:rPr>
          <w:i/>
        </w:rPr>
        <w:t xml:space="preserve">Les Bourla-Papey. Gazette de Lausanne 1857.</w:t>
      </w:r>
    </w:p>
  </w:footnote>
  <w:footnote w:id="50">
    <w:p>
      <w:pPr>
        <w:pStyle w:val="Notedebasdepage"/>
      </w:pPr>
      <w:r>
        <w:rPr>
          <w:rStyle w:val="Appelnotedebasdep"/>
        </w:rPr>
        <w:footnoteRef/>
        <w:t xml:space="preserve"> </w:t>
      </w:r>
      <w:r>
        <w:rPr/>
        <w:t xml:space="preserve">Pasche. </w:t>
      </w:r>
      <w:r>
        <w:rPr>
          <w:i/>
        </w:rPr>
        <w:t xml:space="preserve">La contrée d’Oron</w:t>
      </w:r>
      <w:r>
        <w:rPr/>
        <w:t xml:space="preserve">, 579.</w:t>
      </w:r>
    </w:p>
  </w:footnote>
  <w:footnote w:id="51">
    <w:p>
      <w:pPr>
        <w:pStyle w:val="Notedebasdepage"/>
      </w:pPr>
      <w:r>
        <w:rPr>
          <w:rStyle w:val="Appelnotedebasdep"/>
        </w:rPr>
        <w:footnoteRef/>
        <w:t xml:space="preserve"> </w:t>
      </w:r>
      <w:r>
        <w:rPr/>
        <w:t xml:space="preserve">Suppl, au </w:t>
      </w:r>
      <w:r>
        <w:rPr>
          <w:i/>
        </w:rPr>
        <w:t xml:space="preserve">Dlct. hist. du Canton de Vaud</w:t>
      </w:r>
      <w:r>
        <w:rPr/>
        <w:t xml:space="preserve"> par M. Favey, Aigle.</w:t>
      </w:r>
    </w:p>
  </w:footnote>
  <w:footnote w:id="52">
    <w:p>
      <w:pPr>
        <w:pStyle w:val="Notedebasdepage"/>
      </w:pPr>
      <w:r>
        <w:rPr>
          <w:rStyle w:val="Appelnotedebasdep"/>
        </w:rPr>
        <w:footnoteRef/>
        <w:t xml:space="preserve"> </w:t>
      </w:r>
      <w:r>
        <w:rPr>
          <w:i/>
        </w:rPr>
        <w:t xml:space="preserve">Montreux</w:t>
      </w:r>
      <w:r>
        <w:rPr/>
        <w:t xml:space="preserve">, p. 113.</w:t>
      </w:r>
    </w:p>
  </w:footnote>
  <w:footnote w:id="53">
    <w:p>
      <w:pPr>
        <w:pStyle w:val="Notedebasdepage"/>
      </w:pPr>
      <w:r>
        <w:rPr>
          <w:rStyle w:val="Appelnotedebasdep"/>
        </w:rPr>
        <w:footnoteRef/>
        <w:t xml:space="preserve"> </w:t>
      </w:r>
      <w:r>
        <w:rPr/>
        <w:t xml:space="preserve">J.-J. Cart : </w:t>
      </w:r>
      <w:r>
        <w:rPr>
          <w:i/>
        </w:rPr>
        <w:t xml:space="preserve">De la Suisse avant la Révolution et pendant la Révolution</w:t>
      </w:r>
    </w:p>
  </w:footnote>
  <w:footnote w:id="54">
    <w:p>
      <w:pPr>
        <w:pStyle w:val="Notedebasdepage"/>
      </w:pPr>
      <w:r>
        <w:rPr>
          <w:rStyle w:val="Appelnotedebasdep"/>
        </w:rPr>
        <w:footnoteRef/>
        <w:t xml:space="preserve"> </w:t>
      </w:r>
      <w:r>
        <w:rPr/>
        <w:t xml:space="preserve">Lettre du 13 mai.</w:t>
      </w:r>
    </w:p>
  </w:footnote>
  <w:footnote w:id="55">
    <w:p>
      <w:pPr>
        <w:pStyle w:val="Notedebasdepage"/>
      </w:pPr>
      <w:r>
        <w:rPr>
          <w:rStyle w:val="Appelnotedebasdep"/>
        </w:rPr>
        <w:footnoteRef/>
        <w:t xml:space="preserve"> </w:t>
      </w:r>
      <w:r>
        <w:rPr/>
        <w:t xml:space="preserve">Lettre du 15 mai qui arriva à Lausanne après le départ du Commissaire.</w:t>
      </w:r>
    </w:p>
  </w:footnote>
  <w:footnote w:id="56">
    <w:p>
      <w:pPr>
        <w:pStyle w:val="Notedebasdepage"/>
      </w:pPr>
      <w:r>
        <w:rPr>
          <w:rStyle w:val="Appelnotedebasdep"/>
        </w:rPr>
        <w:footnoteRef/>
        <w:t xml:space="preserve"> </w:t>
      </w:r>
      <w:r>
        <w:rPr/>
        <w:t xml:space="preserve">Lettre du 14 mai au Préfet national de Fribourg. Les insurgés se repentirent un peu plus tard et le 30 mai, vinrent « honteux de leur conduite rapporter les titres intacts ». </w:t>
      </w:r>
      <w:r>
        <w:rPr>
          <w:i/>
        </w:rPr>
        <w:t xml:space="preserve">Journal helvétique</w:t>
      </w:r>
      <w:r>
        <w:rPr/>
        <w:t xml:space="preserve"> du 1</w:t>
      </w:r>
      <w:r>
        <w:rPr>
          <w:vertAlign w:val="superscript"/>
        </w:rPr>
        <w:t>er</w:t>
      </w:r>
      <w:r>
        <w:rPr/>
        <w:t xml:space="preserve"> juin.</w:t>
      </w:r>
    </w:p>
  </w:footnote>
  <w:footnote w:id="57">
    <w:p>
      <w:pPr>
        <w:pStyle w:val="Notedebasdepage"/>
      </w:pPr>
      <w:r>
        <w:rPr>
          <w:rStyle w:val="Appelnotedebasdep"/>
        </w:rPr>
        <w:footnoteRef/>
        <w:t xml:space="preserve"> </w:t>
      </w:r>
      <w:r>
        <w:rPr/>
        <w:t xml:space="preserve">Lettre du Préfet d’Église au Petit Conseil, 12 mai.</w:t>
      </w:r>
    </w:p>
  </w:footnote>
  <w:footnote w:id="58">
    <w:p>
      <w:pPr>
        <w:pStyle w:val="Notedebasdepage"/>
      </w:pPr>
      <w:r>
        <w:rPr>
          <w:rStyle w:val="Appelnotedebasdep"/>
        </w:rPr>
        <w:footnoteRef/>
        <w:t xml:space="preserve"> </w:t>
      </w:r>
      <w:r>
        <w:rPr/>
        <w:t xml:space="preserve">Polier au Petit Conseil, 15 mai.</w:t>
      </w:r>
    </w:p>
  </w:footnote>
  <w:footnote w:id="59">
    <w:p>
      <w:pPr>
        <w:pStyle w:val="Notedebasdepage"/>
      </w:pPr>
      <w:r>
        <w:rPr>
          <w:rStyle w:val="Appelnotedebasdep"/>
        </w:rPr>
        <w:footnoteRef/>
        <w:t xml:space="preserve"> </w:t>
      </w:r>
      <w:r>
        <w:rPr/>
        <w:t xml:space="preserve">Préfet Polier au Petit Conseil, 15 mai.</w:t>
      </w:r>
    </w:p>
  </w:footnote>
  <w:footnote w:id="60">
    <w:p>
      <w:pPr>
        <w:pStyle w:val="Notedebasdepage"/>
      </w:pPr>
      <w:r>
        <w:rPr>
          <w:rStyle w:val="Appelnotedebasdep"/>
        </w:rPr>
        <w:footnoteRef/>
        <w:t xml:space="preserve"> </w:t>
      </w:r>
      <w:r>
        <w:rPr/>
        <w:t xml:space="preserve">Préfet Polier au Petit Conseil, 19 mai.</w:t>
      </w:r>
    </w:p>
  </w:footnote>
  <w:footnote w:id="61">
    <w:p>
      <w:pPr>
        <w:pStyle w:val="Notedebasdepage"/>
      </w:pPr>
      <w:r>
        <w:rPr>
          <w:rStyle w:val="Appelnotedebasdep"/>
        </w:rPr>
        <w:footnoteRef/>
        <w:t xml:space="preserve"> </w:t>
      </w:r>
      <w:r>
        <w:rPr/>
        <w:t xml:space="preserve">Petit Conseil à Polier, lettre du 20 mai.</w:t>
      </w:r>
    </w:p>
  </w:footnote>
  <w:footnote w:id="62">
    <w:p>
      <w:pPr>
        <w:pStyle w:val="Notedebasdepage"/>
      </w:pPr>
      <w:r>
        <w:rPr>
          <w:rStyle w:val="Appelnotedebasdep"/>
        </w:rPr>
        <w:footnoteRef/>
        <w:t xml:space="preserve"> </w:t>
      </w:r>
      <w:r>
        <w:rPr/>
        <w:t xml:space="preserve">Polier au Petit Conseil, 2 juin.</w:t>
      </w:r>
    </w:p>
  </w:footnote>
  <w:footnote w:id="63">
    <w:p>
      <w:pPr>
        <w:pStyle w:val="Notedebasdepage"/>
      </w:pPr>
      <w:r>
        <w:rPr>
          <w:rStyle w:val="Appelnotedebasdep"/>
        </w:rPr>
        <w:footnoteRef/>
        <w:t xml:space="preserve"> </w:t>
      </w:r>
      <w:r>
        <w:rPr/>
        <w:t xml:space="preserve">Montrichard au Petit Conseil 3 prairial au 10 (23 mai).</w:t>
      </w:r>
    </w:p>
  </w:footnote>
  <w:footnote w:id="64">
    <w:p>
      <w:pPr>
        <w:pStyle w:val="Notedebasdepage"/>
      </w:pPr>
      <w:r>
        <w:rPr>
          <w:rStyle w:val="Appelnotedebasdep"/>
        </w:rPr>
        <w:footnoteRef/>
        <w:t xml:space="preserve"> </w:t>
      </w:r>
      <w:r>
        <w:rPr/>
        <w:t xml:space="preserve">Lettre du 6 juin.</w:t>
      </w:r>
    </w:p>
  </w:footnote>
  <w:footnote w:id="65">
    <w:p>
      <w:pPr>
        <w:pStyle w:val="Notedebasdepage"/>
      </w:pPr>
      <w:r>
        <w:rPr>
          <w:rStyle w:val="Appelnotedebasdep"/>
        </w:rPr>
        <w:footnoteRef/>
        <w:t xml:space="preserve"> </w:t>
      </w:r>
      <w:r>
        <w:rPr/>
        <w:t xml:space="preserve">Polier au gouvernement ; lettre du 4 juin.</w:t>
      </w:r>
    </w:p>
  </w:footnote>
  <w:footnote w:id="66">
    <w:p>
      <w:pPr>
        <w:pStyle w:val="Notedebasdepage"/>
      </w:pPr>
      <w:r>
        <w:rPr>
          <w:rStyle w:val="Appelnotedebasdep"/>
        </w:rPr>
        <w:footnoteRef/>
        <w:t xml:space="preserve"> </w:t>
      </w:r>
      <w:r>
        <w:rPr/>
        <w:t xml:space="preserve">Henri Polier au Conseil Exécutif, lettre du 11 juin.</w:t>
      </w:r>
    </w:p>
  </w:footnote>
  <w:footnote w:id="67">
    <w:p>
      <w:pPr>
        <w:pStyle w:val="Notedebasdepage"/>
      </w:pPr>
      <w:r>
        <w:rPr>
          <w:rStyle w:val="Appelnotedebasdep"/>
        </w:rPr>
        <w:footnoteRef/>
        <w:t xml:space="preserve"> </w:t>
      </w:r>
      <w:r>
        <w:rPr/>
        <w:t xml:space="preserve">Séras à Lanther ; lettre du 24 prairial (13 juin).</w:t>
      </w:r>
    </w:p>
  </w:footnote>
  <w:footnote w:id="68">
    <w:p>
      <w:pPr>
        <w:pStyle w:val="Notedebasdepage"/>
      </w:pPr>
      <w:r>
        <w:rPr>
          <w:rStyle w:val="Appelnotedebasdep"/>
        </w:rPr>
        <w:footnoteRef/>
        <w:t xml:space="preserve"> </w:t>
      </w:r>
      <w:r>
        <w:rPr/>
        <w:t xml:space="preserve">Lettre de Lanther au Petit Conseil, 14 juin.</w:t>
      </w:r>
    </w:p>
  </w:footnote>
  <w:footnote w:id="69">
    <w:p>
      <w:pPr>
        <w:pStyle w:val="Notedebasdepage"/>
      </w:pPr>
      <w:r>
        <w:rPr>
          <w:rStyle w:val="Appelnotedebasdep"/>
        </w:rPr>
        <w:footnoteRef/>
        <w:t xml:space="preserve"> </w:t>
      </w:r>
      <w:r>
        <w:rPr/>
        <w:t xml:space="preserve">Lanther au Petit Conseil, 14 juin.</w:t>
      </w:r>
    </w:p>
  </w:footnote>
  <w:footnote w:id="70">
    <w:p>
      <w:pPr>
        <w:pStyle w:val="Notedebasdepage"/>
      </w:pPr>
      <w:r>
        <w:rPr>
          <w:rStyle w:val="Appelnotedebasdep"/>
        </w:rPr>
        <w:footnoteRef/>
        <w:t xml:space="preserve"> </w:t>
      </w:r>
      <w:r>
        <w:rPr/>
        <w:t xml:space="preserve">Conseil exécutif au Commissaire F. May : lettre du 6 juillet.</w:t>
      </w:r>
    </w:p>
  </w:footnote>
  <w:footnote w:id="71">
    <w:p>
      <w:pPr>
        <w:pStyle w:val="Notedebasdepage"/>
      </w:pPr>
      <w:r>
        <w:rPr>
          <w:rStyle w:val="Appelnotedebasdep"/>
        </w:rPr>
        <w:footnoteRef/>
        <w:t xml:space="preserve"> </w:t>
      </w:r>
      <w:r>
        <w:rPr/>
        <w:t xml:space="preserve">Sous-préfet Gilliéron au Préfet national, lettre du 3 juillet.</w:t>
      </w:r>
    </w:p>
  </w:footnote>
  <w:footnote w:id="72">
    <w:p>
      <w:pPr>
        <w:pStyle w:val="Notedebasdepage"/>
      </w:pPr>
      <w:r>
        <w:rPr>
          <w:rStyle w:val="Appelnotedebasdep"/>
        </w:rPr>
        <w:footnoteRef/>
        <w:t xml:space="preserve"> </w:t>
      </w:r>
      <w:r>
        <w:rPr/>
        <w:t xml:space="preserve">Ferdinand Christin, fils du Banneret.</w:t>
      </w:r>
    </w:p>
  </w:footnote>
  <w:footnote w:id="73">
    <w:p>
      <w:pPr>
        <w:pStyle w:val="Notedebasdepage"/>
      </w:pPr>
      <w:r>
        <w:rPr>
          <w:rStyle w:val="Appelnotedebasdep"/>
        </w:rPr>
        <w:footnoteRef/>
        <w:t xml:space="preserve"> </w:t>
      </w:r>
      <w:r>
        <w:rPr/>
        <w:t xml:space="preserve">Fr. Pillichody, ex-seigneur de Bavois.</w:t>
      </w:r>
    </w:p>
  </w:footnote>
  <w:footnote w:id="74">
    <w:p>
      <w:pPr>
        <w:pStyle w:val="Notedebasdepage"/>
      </w:pPr>
      <w:r>
        <w:rPr>
          <w:rStyle w:val="Appelnotedebasdep"/>
        </w:rPr>
        <w:footnoteRef/>
        <w:t xml:space="preserve"> </w:t>
      </w:r>
      <w:r>
        <w:rPr/>
        <w:t xml:space="preserve">Bourgeois, ex-châtelain des Clées, à Valleyres.</w:t>
      </w:r>
    </w:p>
  </w:footnote>
  <w:footnote w:id="75">
    <w:p>
      <w:pPr>
        <w:pStyle w:val="Notedebasdepage"/>
      </w:pPr>
      <w:r>
        <w:rPr>
          <w:rStyle w:val="Appelnotedebasdep"/>
        </w:rPr>
        <w:footnoteRef/>
        <w:t xml:space="preserve"> </w:t>
      </w:r>
      <w:r>
        <w:rPr/>
        <w:t xml:space="preserve">Cette lettre représentait les vœux de trente-deux communes des districts de Cossonay, Morges, Aubonne, Oron et Eehallens.</w:t>
      </w:r>
    </w:p>
  </w:footnote>
  <w:footnote w:id="76">
    <w:p>
      <w:pPr>
        <w:pStyle w:val="Notedebasdepage"/>
      </w:pPr>
      <w:r>
        <w:rPr>
          <w:rStyle w:val="Appelnotedebasdep"/>
        </w:rPr>
        <w:footnoteRef/>
        <w:t xml:space="preserve"> </w:t>
      </w:r>
      <w:r>
        <w:rPr/>
        <w:t xml:space="preserve">Cette adresse est dans l’original, de la main de M. L. Vionnet.</w:t>
      </w:r>
    </w:p>
  </w:footnote>
  <w:footnote w:id="77">
    <w:p>
      <w:pPr>
        <w:pStyle w:val="Notedebasdepage"/>
      </w:pPr>
      <w:r>
        <w:rPr>
          <w:rStyle w:val="Appelnotedebasdep"/>
        </w:rPr>
        <w:footnoteRef/>
        <w:t xml:space="preserve"> </w:t>
      </w:r>
      <w:r>
        <w:rPr/>
        <w:t xml:space="preserve">Polier au Conseil Exécutif, 27 juillet.</w:t>
      </w:r>
    </w:p>
  </w:footnote>
  <w:footnote w:id="78">
    <w:p>
      <w:pPr>
        <w:pStyle w:val="Notedebasdepage"/>
      </w:pPr>
      <w:r>
        <w:rPr>
          <w:rStyle w:val="Appelnotedebasdep"/>
        </w:rPr>
        <w:footnoteRef/>
        <w:t xml:space="preserve"> </w:t>
      </w:r>
      <w:r>
        <w:rPr/>
        <w:t xml:space="preserve">Monod : </w:t>
      </w:r>
      <w:r>
        <w:rPr>
          <w:i/>
        </w:rPr>
        <w:t xml:space="preserve">Mémoires</w:t>
      </w:r>
      <w:r>
        <w:rPr/>
        <w:t xml:space="preserve"> I 209.</w:t>
      </w:r>
    </w:p>
  </w:footnote>
  <w:footnote w:id="79">
    <w:p>
      <w:pPr>
        <w:pStyle w:val="Notedebasdepage"/>
      </w:pPr>
      <w:r>
        <w:rPr>
          <w:rStyle w:val="Appelnotedebasdep"/>
        </w:rPr>
        <w:footnoteRef/>
        <w:t xml:space="preserve"> </w:t>
      </w:r>
      <w:r>
        <w:rPr/>
        <w:t xml:space="preserve">Ce projet ne fut du reste jamais exécuté.</w:t>
      </w:r>
    </w:p>
  </w:footnote>
  <w:footnote w:id="80">
    <w:p>
      <w:pPr>
        <w:pStyle w:val="Notedebasdepage"/>
      </w:pPr>
      <w:r>
        <w:rPr>
          <w:rStyle w:val="Appelnotedebasdep"/>
        </w:rPr>
        <w:footnoteRef/>
        <w:t xml:space="preserve"> </w:t>
      </w:r>
      <w:r>
        <w:rPr/>
        <w:t xml:space="preserve">Décret du 22 septembre 1802.</w:t>
      </w:r>
    </w:p>
  </w:footnote>
  <w:footnote w:id="81">
    <w:p>
      <w:pPr>
        <w:pStyle w:val="Notedebasdepage"/>
      </w:pPr>
      <w:r>
        <w:rPr>
          <w:rStyle w:val="Appelnotedebasdep"/>
        </w:rPr>
        <w:footnoteRef/>
        <w:t xml:space="preserve"> </w:t>
      </w:r>
      <w:r>
        <w:rPr/>
        <w:t xml:space="preserve">Arrêté de la Chambre administrative, du 29 septembre 1802.</w:t>
      </w:r>
    </w:p>
  </w:footnote>
  <w:footnote w:id="82">
    <w:p>
      <w:pPr>
        <w:pStyle w:val="Notedebasdepage"/>
      </w:pPr>
      <w:r>
        <w:rPr>
          <w:rStyle w:val="Appelnotedebasdep"/>
        </w:rPr>
        <w:footnoteRef/>
        <w:t xml:space="preserve"> </w:t>
      </w:r>
      <w:r>
        <w:rPr/>
        <w:t xml:space="preserve">On peut comparer ce décret et les événements du temps avec la devise qui figure sur l’écusson vaudois et où la liberté prend place avant la patrie.</w:t>
      </w:r>
    </w:p>
  </w:footnote>
  <w:footnote w:id="83">
    <w:p>
      <w:pPr>
        <w:pStyle w:val="Notedebasdepage"/>
      </w:pPr>
      <w:r>
        <w:rPr>
          <w:rStyle w:val="Appelnotedebasdep"/>
        </w:rPr>
        <w:footnoteRef/>
        <w:t xml:space="preserve"> </w:t>
      </w:r>
      <w:r>
        <w:rPr/>
        <w:t xml:space="preserve">Voir sur ce curieux procès : Exposé de la Procédure </w:t>
      </w:r>
      <w:r>
        <w:rPr>
          <w:i/>
        </w:rPr>
        <w:t xml:space="preserve">instruite contre M. Ami Rigot, ci-devant seigneur de Begnins</w:t>
      </w:r>
      <w:r>
        <w:rPr/>
        <w:t xml:space="preserve"> et </w:t>
      </w:r>
      <w:r>
        <w:rPr>
          <w:i/>
        </w:rPr>
        <w:t xml:space="preserve">Recueil des faits relatifs d l’arrestation, la détention, le procès et le jugement du Colonel Charles-Albert de Mestral-Saint-Saphorin.</w:t>
      </w:r>
    </w:p>
  </w:footnote>
</w:footnot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archive.org/details/lesbourlapapeye00mottgoog" TargetMode="External" Type="http://schemas.openxmlformats.org/officeDocument/2006/relationships/hyperlink" Id="ref1"/>
  <Relationship Target="https://ebooks-bnr.com/ramuz-charles-ferdinand-guerre-aux-papiers/" TargetMode="External" Type="http://schemas.openxmlformats.org/officeDocument/2006/relationships/hyperlink" Id="ref2"/>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