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Staline, dans son rapport au dix-septième congrès du Parti bolchévique, caractérise le fascisme « </w:t>
      </w:r>
      <w:r>
        <w:rPr>
          <w:i/>
        </w:rPr>
        <w:t xml:space="preserve">comme un signe montrant que le grand capital n’est plus en mesure d’exercer son pouvoir au moyen des anciennes méthodes de parlementarisme et de démocratie, ce qui l’oblige à recourir dans sa politique intérieure aux méthodes de domination terroristes</w:t>
      </w:r>
      <w:r>
        <w:rPr/>
        <w:t xml:space="preserve"> ».</w:t>
      </w:r>
    </w:p>
  </w:footnote>
  <w:footnote w:id="2">
    <w:p>
      <w:pPr>
        <w:pStyle w:val="Notedebasdepage"/>
      </w:pPr>
      <w:r>
        <w:rPr>
          <w:rStyle w:val="Appelnotedebasdep"/>
        </w:rPr>
        <w:footnoteRef/>
        <w:t xml:space="preserve"> </w:t>
      </w:r>
      <w:r>
        <w:rPr/>
        <w:t xml:space="preserve">(Note de l’auteur) C’est notamment le thème d’un très mauvais film allemand (un film à boycotter !) donné récemment dans les salles parisiennes : </w:t>
      </w:r>
      <w:r>
        <w:rPr>
          <w:i/>
        </w:rPr>
        <w:t xml:space="preserve">Les Rapaces</w:t>
      </w:r>
      <w:r>
        <w:rPr/>
        <w:t xml:space="preserve">, où s’étale le contraste bébête entre le mauvais capitaliste, un juif cela va de soi, et le bon capitaliste (un de Wendel, un Mercier, par exemple) qui, répondant à l’appel de sa fille, distribue ses générosités sur le monde.</w:t>
      </w:r>
    </w:p>
  </w:footnote>
  <w:footnote w:id="3">
    <w:p>
      <w:pPr>
        <w:pStyle w:val="Notedebasdepage"/>
      </w:pPr>
      <w:r>
        <w:rPr>
          <w:rStyle w:val="Appelnotedebasdep"/>
        </w:rPr>
        <w:footnoteRef/>
        <w:t xml:space="preserve"> </w:t>
      </w:r>
      <w:r>
        <w:rPr/>
        <w:t xml:space="preserve">[note PCF 1942] Une charte du travail qui n’est qu’un carcan de fer pour asservir le prolétariat au capitalisme et qui suscite un mécontentement profond parmi les travailleurs a été promulguée depuis que notre ami a écrit cette brochure</w:t>
      </w:r>
    </w:p>
  </w:footnote>
  <w:footnote w:id="4">
    <w:p>
      <w:pPr>
        <w:pStyle w:val="Notedebasdepage"/>
      </w:pPr>
      <w:r>
        <w:rPr>
          <w:rStyle w:val="Appelnotedebasdep"/>
        </w:rPr>
        <w:footnoteRef/>
        <w:t xml:space="preserve"> </w:t>
      </w:r>
      <w:r>
        <w:rPr/>
        <w:t xml:space="preserve">(note de l’auteur) La presse allemande a annoncé au mois de mars 1941 qu’en raison du surmenage auquel les femmes étaient astreintes dans la production de guerre, une journée de repos allait leur être octroyée tous les quinze jours</w:t>
      </w:r>
    </w:p>
  </w:footnote>
  <w:footnote w:id="5">
    <w:p>
      <w:pPr>
        <w:pStyle w:val="Notedebasdepage"/>
      </w:pPr>
      <w:r>
        <w:rPr>
          <w:rStyle w:val="Appelnotedebasdep"/>
        </w:rPr>
        <w:footnoteRef/>
        <w:t xml:space="preserve"> </w:t>
      </w:r>
      <w:r>
        <w:rPr/>
        <w:t xml:space="preserve">(Note de l’auteur) Déjà les grandes banques allemandes ont reçu des privilèges importants en Pologne, en Roumanie, en Serbie, en Hollande, en Belgique, en France et… en Italie ! et tous les jours, de nouvelles sociétés s’érigent dans les pays occupés qui sont financées par le grand capital allemand</w:t>
      </w:r>
    </w:p>
  </w:footnote>
  <w:footnote w:id="6">
    <w:p>
      <w:pPr>
        <w:pStyle w:val="Notedebasdepage"/>
      </w:pPr>
      <w:r>
        <w:rPr>
          <w:rStyle w:val="Appelnotedebasdep"/>
        </w:rPr>
        <w:footnoteRef/>
        <w:t xml:space="preserve"> </w:t>
      </w:r>
      <w:r>
        <w:rPr/>
        <w:t xml:space="preserve">(Note de l’auteur) ligue des villes allemandes du nord, la Hanse qui dura de 1240 à 1670 groupait 64 villes et avait son siège à Lübeck. Ligue commerciale, elle constituait au temps de sa prospérité un véritable état avec son Conseil de gouvernement et sa flotte</w:t>
      </w:r>
    </w:p>
  </w:footnote>
  <w:footnote w:id="7">
    <w:p>
      <w:pPr>
        <w:pStyle w:val="Notedebasdepage"/>
      </w:pPr>
      <w:r>
        <w:rPr>
          <w:rStyle w:val="Appelnotedebasdep"/>
        </w:rPr>
        <w:footnoteRef/>
        <w:t xml:space="preserve"> </w:t>
      </w:r>
      <w:r>
        <w:rPr/>
        <w:t xml:space="preserve">(Note de l’auteur) On n’a qu’à se rappeler l’origine des dirigeants de l’Union soviétique pour constater que ces affirmations ont été traduites en actes !</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pandor.u-bourgogne.fr/img-viewer/PAPRIKA/AN/FRAN_IR_050039/Z_4/138/0016/viewer.html?ns=FRAN_0020_10759_L.jpg"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