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poèmes d’Edgar Poe, traduits par Stéphane Mallarmé, parurent vers 1888.</w:t>
      </w:r>
    </w:p>
  </w:footnote>
  <w:footnote w:id="2">
    <w:p>
      <w:pPr>
        <w:pStyle w:val="Notedebasdepage"/>
      </w:pPr>
      <w:r>
        <w:rPr>
          <w:rStyle w:val="Appelnotedebasdep"/>
        </w:rPr>
        <w:footnoteRef/>
        <w:t xml:space="preserve"> </w:t>
      </w:r>
      <w:r>
        <w:rPr/>
        <w:t xml:space="preserve">Aucun des membres du jury ne connaissait Poe, fût-ce de nom. Un d’eux, John Pendleton Kennedy, auteur de nombreux romans populaires, désireux de savoir un peu plus sur ce remarquable inconnu, lui adressa une invitation à dîner. S’imagine-t-on quel tourment douloureux ce fut pour un poète toujours fier et discret d’avoir à une si bienveillante prévenance à répondre en ces termes : « Votre aimable invitation à dîner aujourd’hui m’a causé la plus vive blessure. – Je ne puis pas venir – et pour des raisons de la nature la plus humiliante : l’aspect de ma personne. Vous pouvez imaginer ma mortification à vous devoir faire cet aveu, mais il était indispensable. » – Alors Kennedy se mit à sa recherche, le découvrit comme il l’a consigné, dans son journal, </w:t>
      </w:r>
      <w:r>
        <w:rPr>
          <w:i/>
        </w:rPr>
        <w:t xml:space="preserve">sans aucun ami et réellement mourant de faim.</w:t>
      </w:r>
      <w:r>
        <w:rPr/>
        <w:t xml:space="preserve"> (</w:t>
      </w:r>
      <w:r>
        <w:rPr>
          <w:i/>
        </w:rPr>
        <w:t xml:space="preserve">La vie d’Edgar A. Poe</w:t>
      </w:r>
      <w:r>
        <w:rPr/>
        <w:t xml:space="preserve">, d’André Fontainas.)</w:t>
      </w:r>
    </w:p>
  </w:footnote>
  <w:footnote w:id="3">
    <w:p>
      <w:pPr>
        <w:pStyle w:val="Notedebasdepage"/>
      </w:pPr>
      <w:r>
        <w:rPr>
          <w:rStyle w:val="Appelnotedebasdep"/>
        </w:rPr>
        <w:footnoteRef/>
        <w:t xml:space="preserve"> </w:t>
      </w:r>
      <w:r>
        <w:rPr/>
        <w:t xml:space="preserve">Le Dr Moran qui lui prodigua ses soins à l’hôpital de Baltimore (on l’y soigna pour un transport au cerveau) a dans une lettre adressée à Mrs Clemm, belle-mère de Poe, décrit les derniers moments de sa maladie ; plus tard, à plusieurs reprises, il a protesté dans les journaux contre les mensonges et les infamies dont on prétendait salir son grand souvenir et, en 1885, il fit paraître, à Washington, un exposé complet : « Défense d’Edgar-Allan Poe : Vie, caractère du poète ; ses déclarations des dernières heures. Relation officielle de sa mort par le médecin qui l’a soigné. » – Le docteur Moran ne mentionne pas, comme cause de sa fièvre cérébrale, l’alcoolisme. (</w:t>
      </w:r>
      <w:r>
        <w:rPr>
          <w:i/>
        </w:rPr>
        <w:t xml:space="preserve">La vie d’Edgar-A. Poe</w:t>
      </w:r>
      <w:r>
        <w:rPr/>
        <w:t xml:space="preserve">, par André Fontainas.)</w:t>
      </w:r>
    </w:p>
  </w:footnote>
  <w:footnote w:id="4">
    <w:p>
      <w:pPr>
        <w:pStyle w:val="Notedebasdepage"/>
      </w:pPr>
      <w:r>
        <w:rPr>
          <w:rStyle w:val="Appelnotedebasdep"/>
        </w:rPr>
        <w:footnoteRef/>
        <w:t xml:space="preserve"> </w:t>
      </w:r>
      <w:r>
        <w:rPr/>
        <w:t xml:space="preserve">Ai-je besoin d’avertir, à propos de la rue Morgue, du passage Lamartine, etc. qu’Edgar Poe n’est jamais venu à Paris ? (C.B.)</w:t>
      </w:r>
    </w:p>
  </w:footnote>
  <w:footnote w:id="5">
    <w:p>
      <w:pPr>
        <w:pStyle w:val="Notedebasdepage"/>
      </w:pPr>
      <w:r>
        <w:rPr>
          <w:rStyle w:val="Appelnotedebasdep"/>
        </w:rPr>
        <w:footnoteRef/>
        <w:t xml:space="preserve"> </w:t>
      </w:r>
      <w:r>
        <w:rPr/>
        <w:t xml:space="preserve">Rousseau, </w:t>
      </w:r>
      <w:r>
        <w:rPr>
          <w:i/>
        </w:rPr>
        <w:t xml:space="preserve">La Nouvelle Héloïse</w:t>
      </w:r>
      <w:r>
        <w:rPr/>
        <w:t xml:space="preserve">. (E.A.P.)</w:t>
      </w:r>
    </w:p>
  </w:footnote>
  <w:footnote w:id="6">
    <w:p>
      <w:pPr>
        <w:pStyle w:val="Notedebasdepage"/>
      </w:pPr>
      <w:r>
        <w:rPr>
          <w:rStyle w:val="Appelnotedebasdep"/>
        </w:rPr>
        <w:footnoteRef/>
        <w:t xml:space="preserve"> </w:t>
      </w:r>
      <w:r>
        <w:rPr/>
        <w:t xml:space="preserve">Médecin très célèbre et très excentrique. (C.B.)</w:t>
      </w:r>
    </w:p>
  </w:footnote>
  <w:footnote w:id="7">
    <w:p>
      <w:pPr>
        <w:pStyle w:val="Notedebasdepage"/>
      </w:pPr>
      <w:r>
        <w:rPr>
          <w:rStyle w:val="Appelnotedebasdep"/>
        </w:rPr>
        <w:footnoteRef/>
        <w:t xml:space="preserve"> </w:t>
      </w:r>
      <w:r>
        <w:rPr/>
        <w:t xml:space="preserve">Jan Swammerdam (1637-1680) était un naturaliste hollandais, spécialiste des insectes.</w:t>
      </w:r>
    </w:p>
  </w:footnote>
  <w:footnote w:id="8">
    <w:p>
      <w:pPr>
        <w:pStyle w:val="Notedebasdepage"/>
      </w:pPr>
      <w:r>
        <w:rPr>
          <w:rStyle w:val="Appelnotedebasdep"/>
        </w:rPr>
        <w:footnoteRef/>
        <w:t xml:space="preserve"> </w:t>
      </w:r>
      <w:r>
        <w:rPr/>
        <w:t xml:space="preserve">Un </w:t>
      </w:r>
      <w:r>
        <w:rPr>
          <w:i/>
        </w:rPr>
        <w:t xml:space="preserve">bivalve</w:t>
      </w:r>
      <w:r>
        <w:rPr/>
        <w:t xml:space="preserve"> est un mollusque dont la coquille est formée de deux valves.</w:t>
      </w:r>
    </w:p>
  </w:footnote>
  <w:footnote w:id="9">
    <w:p>
      <w:pPr>
        <w:pStyle w:val="Notedebasdepage"/>
      </w:pPr>
      <w:r>
        <w:rPr>
          <w:rStyle w:val="Appelnotedebasdep"/>
        </w:rPr>
        <w:footnoteRef/>
        <w:t xml:space="preserve"> </w:t>
      </w:r>
      <w:r>
        <w:rPr/>
        <w:t xml:space="preserve">La prononciation du mot </w:t>
      </w:r>
      <w:r>
        <w:rPr>
          <w:i/>
        </w:rPr>
        <w:t xml:space="preserve">antennae</w:t>
      </w:r>
      <w:r>
        <w:rPr/>
        <w:t xml:space="preserve"> fait commettre une méprise au nègre, qui croit qu’il est question d’étain : </w:t>
      </w:r>
      <w:r>
        <w:rPr>
          <w:i/>
        </w:rPr>
        <w:t xml:space="preserve">Dey aint no tin in him.</w:t>
      </w:r>
      <w:r>
        <w:rPr/>
        <w:t xml:space="preserve"> Calembour intraduisible. Le nègre parlera toujours dans une espèce de patois anglais, que le patois nègre français n’imiterait pas mieux que le bas-normand ou le breton ne traduirait l’irlandais. En se rappelant les orthographes figuratives de Balzac, on se fera une idée de ce que ce moyen un peu </w:t>
      </w:r>
      <w:r>
        <w:rPr>
          <w:i/>
        </w:rPr>
        <w:t xml:space="preserve">physique</w:t>
      </w:r>
      <w:r>
        <w:rPr/>
        <w:t xml:space="preserve"> peut ajouter de pittoresque et de comique, mais j’ai dû renoncer à m’en servir faute d’équivalent. (C. B.)</w:t>
      </w:r>
    </w:p>
  </w:footnote>
  <w:footnote w:id="10">
    <w:p>
      <w:pPr>
        <w:pStyle w:val="Notedebasdepage"/>
      </w:pPr>
      <w:r>
        <w:rPr>
          <w:rStyle w:val="Appelnotedebasdep"/>
        </w:rPr>
        <w:footnoteRef/>
        <w:t xml:space="preserve"> </w:t>
      </w:r>
      <w:r>
        <w:rPr/>
        <w:t xml:space="preserve">En latin : </w:t>
      </w:r>
      <w:r>
        <w:rPr>
          <w:i/>
        </w:rPr>
        <w:t xml:space="preserve">scarabée-tête-d’homme.</w:t>
      </w:r>
    </w:p>
  </w:footnote>
  <w:footnote w:id="11">
    <w:p>
      <w:pPr>
        <w:pStyle w:val="Notedebasdepage"/>
      </w:pPr>
      <w:r>
        <w:rPr>
          <w:rStyle w:val="Appelnotedebasdep"/>
        </w:rPr>
        <w:footnoteRef/>
        <w:t xml:space="preserve"> </w:t>
      </w:r>
      <w:r>
        <w:rPr/>
        <w:t xml:space="preserve">Calembour. </w:t>
      </w:r>
      <w:r>
        <w:rPr>
          <w:i/>
        </w:rPr>
        <w:t xml:space="preserve">I nose</w:t>
      </w:r>
      <w:r>
        <w:rPr/>
        <w:t xml:space="preserve"> pour </w:t>
      </w:r>
      <w:r>
        <w:rPr>
          <w:i/>
        </w:rPr>
        <w:t xml:space="preserve">I know</w:t>
      </w:r>
      <w:r>
        <w:rPr/>
        <w:t xml:space="preserve">. – </w:t>
      </w:r>
      <w:r>
        <w:rPr>
          <w:i/>
        </w:rPr>
        <w:t xml:space="preserve">Je le sens</w:t>
      </w:r>
      <w:r>
        <w:rPr/>
        <w:t xml:space="preserve"> pour </w:t>
      </w:r>
      <w:r>
        <w:rPr>
          <w:i/>
        </w:rPr>
        <w:t xml:space="preserve">Je le sais.</w:t>
      </w:r>
      <w:r>
        <w:rPr/>
        <w:t xml:space="preserve"> (C. B)</w:t>
      </w:r>
    </w:p>
  </w:footnote>
  <w:footnote w:id="12">
    <w:p>
      <w:pPr>
        <w:pStyle w:val="Notedebasdepage"/>
      </w:pPr>
      <w:r>
        <w:rPr>
          <w:rStyle w:val="Appelnotedebasdep"/>
        </w:rPr>
        <w:footnoteRef/>
        <w:t xml:space="preserve"> </w:t>
      </w:r>
      <w:r>
        <w:rPr/>
        <w:t xml:space="preserve">Harrison Ainsworth (1805-1882) était un célèbre auteur de romans d’aventures, pleins d’invraisemblables péripéties. Monck Mason, Robert Holland et Charles Green, cités par ailleurs, étaient, eux, d’authentiques aéronautes, rendus célèbres par un voyage en ballon en 1836.</w:t>
      </w:r>
    </w:p>
  </w:footnote>
  <w:footnote w:id="13">
    <w:p>
      <w:pPr>
        <w:pStyle w:val="Notedebasdepage"/>
      </w:pPr>
      <w:r>
        <w:rPr>
          <w:rStyle w:val="Appelnotedebasdep"/>
        </w:rPr>
        <w:footnoteRef/>
        <w:t xml:space="preserve"> </w:t>
      </w:r>
      <w:r>
        <w:rPr/>
        <w:t xml:space="preserve">M. Ainsworth n’a pas essayé de se rendre compte de ce phénomène, dont l’explication est cependant bien simple. Une ligne abaissée perpendiculairement sur la surface de la terre (ou de la mer) d’une hauteur de 25 000 pieds formerait la perpendiculaire d’un triangle rectangle, dont la base s’étendrait de l’angle droit à l’horizon, et l’hypoténuse de l’horizon au ballon. Mais les 25 000 pieds de hauteur sont peu de chose ou presque rien relativement à l’étendue de la perspective. En d’autres termes, la base et l’hypoténuse du triangle supposé seraient si longues, comparées avec la perpendiculaire, qu’elles pourraient être regardées comme presque parallèles. De cette façon, l’horizon de l’aéronaute devait lui apparaître de niveau avec la nacelle. Mais, comme le point situé immédiatement au-dessous de lui paraît et est en effet à grande distance, il lui semble naturellement à une grande distance au-dessous de l’horizon. De là l’impression de </w:t>
      </w:r>
      <w:r>
        <w:rPr>
          <w:i/>
        </w:rPr>
        <w:t xml:space="preserve">concavité</w:t>
      </w:r>
      <w:r>
        <w:rPr/>
        <w:t xml:space="preserve">, et cette impression durera jusqu’à ce que l’élévation se trouve dans une telle proportion avec l’étendue de l’horizon que le parallélisme apparent de la base et de l’hypoténuse disparaisse, – alors la réelle convexité de la terre deviendra sensible. (E.A.P.)</w:t>
      </w:r>
    </w:p>
  </w:footnote>
  <w:footnote w:id="14">
    <w:p>
      <w:pPr>
        <w:pStyle w:val="Notedebasdepage"/>
      </w:pPr>
      <w:r>
        <w:rPr>
          <w:rStyle w:val="Appelnotedebasdep"/>
        </w:rPr>
        <w:footnoteRef/>
        <w:t xml:space="preserve"> </w:t>
      </w:r>
      <w:r>
        <w:rPr/>
        <w:t xml:space="preserve">Bedlam est un asile de fous, l’équivalent de Charenton donc.</w:t>
      </w:r>
    </w:p>
  </w:footnote>
  <w:footnote w:id="15">
    <w:p>
      <w:pPr>
        <w:pStyle w:val="Notedebasdepage"/>
      </w:pPr>
      <w:r>
        <w:rPr>
          <w:rStyle w:val="Appelnotedebasdep"/>
        </w:rPr>
        <w:footnoteRef/>
        <w:t xml:space="preserve"> </w:t>
      </w:r>
      <w:r>
        <w:rPr>
          <w:i/>
        </w:rPr>
        <w:t xml:space="preserve">Pneumatique</w:t>
      </w:r>
      <w:r>
        <w:rPr/>
        <w:t xml:space="preserve">, c’est-à-dire se rapportant aux gaz.</w:t>
      </w:r>
    </w:p>
  </w:footnote>
  <w:footnote w:id="16">
    <w:p>
      <w:pPr>
        <w:pStyle w:val="Notedebasdepage"/>
      </w:pPr>
      <w:r>
        <w:rPr>
          <w:rStyle w:val="Appelnotedebasdep"/>
        </w:rPr>
        <w:footnoteRef/>
        <w:t xml:space="preserve"> </w:t>
      </w:r>
      <w:r>
        <w:rPr/>
        <w:t xml:space="preserve">Le </w:t>
      </w:r>
      <w:r>
        <w:rPr>
          <w:i/>
        </w:rPr>
        <w:t xml:space="preserve">pemmican</w:t>
      </w:r>
      <w:r>
        <w:rPr/>
        <w:t xml:space="preserve"> est de la viande desséchée.</w:t>
      </w:r>
    </w:p>
  </w:footnote>
  <w:footnote w:id="17">
    <w:p>
      <w:pPr>
        <w:pStyle w:val="Notedebasdepage"/>
      </w:pPr>
      <w:r>
        <w:rPr>
          <w:rStyle w:val="Appelnotedebasdep"/>
        </w:rPr>
        <w:footnoteRef/>
        <w:t xml:space="preserve"> </w:t>
      </w:r>
      <w:r>
        <w:rPr/>
        <w:t xml:space="preserve">Depuis la première publication de </w:t>
      </w:r>
      <w:r>
        <w:rPr>
          <w:i/>
        </w:rPr>
        <w:t xml:space="preserve">Hans Pfaall</w:t>
      </w:r>
      <w:r>
        <w:rPr/>
        <w:t xml:space="preserve">, j’apprends que M. Green, le célèbre aéronaute du ballon </w:t>
      </w:r>
      <w:r>
        <w:rPr>
          <w:i/>
        </w:rPr>
        <w:t xml:space="preserve">le Nassau</w:t>
      </w:r>
      <w:r>
        <w:rPr/>
        <w:t xml:space="preserve">, et d’autres expérimentateurs contestent à cet égard les assertions de M. de Humboldt, et parlent au contraire d’une incommodité toujours </w:t>
      </w:r>
      <w:r>
        <w:rPr>
          <w:i/>
        </w:rPr>
        <w:t xml:space="preserve">décroissante</w:t>
      </w:r>
      <w:r>
        <w:rPr/>
        <w:t xml:space="preserve">, ce qui s’accorde précisément avec la théorie présentée ici. (E.A.P.)</w:t>
      </w:r>
    </w:p>
  </w:footnote>
  <w:footnote w:id="18">
    <w:p>
      <w:pPr>
        <w:pStyle w:val="Notedebasdepage"/>
      </w:pPr>
      <w:r>
        <w:rPr>
          <w:rStyle w:val="Appelnotedebasdep"/>
        </w:rPr>
        <w:footnoteRef/>
        <w:t xml:space="preserve"> </w:t>
      </w:r>
      <w:r>
        <w:rPr/>
        <w:t xml:space="preserve">Un </w:t>
      </w:r>
      <w:r>
        <w:rPr>
          <w:i/>
        </w:rPr>
        <w:t xml:space="preserve">mille (mile)</w:t>
      </w:r>
      <w:r>
        <w:rPr/>
        <w:t xml:space="preserve"> = 1609 m ; donc, trois milles trois quarts égale 6033 m.</w:t>
      </w:r>
    </w:p>
  </w:footnote>
  <w:footnote w:id="19">
    <w:p>
      <w:pPr>
        <w:pStyle w:val="Notedebasdepage"/>
      </w:pPr>
      <w:r>
        <w:rPr>
          <w:rStyle w:val="Appelnotedebasdep"/>
        </w:rPr>
        <w:footnoteRef/>
        <w:t xml:space="preserve"> </w:t>
      </w:r>
      <w:r>
        <w:rPr/>
        <w:t xml:space="preserve">Helvétius écrit qu’il a quelquefois observé dans des cieux parfaitement clairs, où des étoiles même de sixième et de septième grandeur brillaient visiblement, que – supposés la même hauteur de la lune, la même élongation de la terre, le même télescope, excellent, bien entendu, – la lune et ses taches ne nous apparaissaient pas toujours aussi lumineuses. Ces circonstances données, il est évident que la cause du phénomène n’est ni dans notre atmosphère, ni dans le télescope, ni dans la lune, ni dans l’œil de l’observateur, mais qu’elle doit être cherchée dans quelque chose (une atmosphère?) existant autour de la lune.</w:t>
      </w:r>
    </w:p>
    <w:p>
      <w:pPr>
        <w:pStyle w:val="Notedebasdepage"/>
      </w:pPr>
      <w:r>
        <w:rPr/>
        <w:t xml:space="preserve">Cassini a constamment observé que Saturne, Jupiter et les étoiles fixes, au moment d’être occultés par la lune, changeaient leur forme circulaire en une forme ovale ; et dans d’autres occultations il n’a saisi aucun changement de forme. On pourrait donc en inférer que, dans quelques cas, mais pas toujours, la lune est enveloppée d’une matière dense où sont réfractés les rayons des étoiles. (E.A.P.)</w:t>
      </w:r>
    </w:p>
  </w:footnote>
  <w:footnote w:id="20">
    <w:p>
      <w:pPr>
        <w:pStyle w:val="Notedebasdepage"/>
      </w:pPr>
      <w:r>
        <w:rPr>
          <w:rStyle w:val="Appelnotedebasdep"/>
        </w:rPr>
        <w:footnoteRef/>
        <w:t xml:space="preserve"> </w:t>
      </w:r>
      <w:r>
        <w:rPr/>
        <w:t xml:space="preserve">Le </w:t>
      </w:r>
      <w:r>
        <w:rPr>
          <w:i/>
        </w:rPr>
        <w:t xml:space="preserve">simoun</w:t>
      </w:r>
      <w:r>
        <w:rPr/>
        <w:t xml:space="preserve"> est un vent sec et chaud du désert, accompagné de tourbillons de sable.</w:t>
      </w:r>
    </w:p>
  </w:footnote>
  <w:footnote w:id="21">
    <w:p>
      <w:pPr>
        <w:pStyle w:val="Notedebasdepage"/>
      </w:pPr>
      <w:r>
        <w:rPr>
          <w:rStyle w:val="Appelnotedebasdep"/>
        </w:rPr>
        <w:footnoteRef/>
        <w:t xml:space="preserve"> </w:t>
      </w:r>
      <w:r>
        <w:rPr/>
        <w:t xml:space="preserve">L’</w:t>
      </w:r>
      <w:r>
        <w:rPr>
          <w:i/>
        </w:rPr>
        <w:t xml:space="preserve">étambot</w:t>
      </w:r>
      <w:r>
        <w:rPr/>
        <w:t xml:space="preserve"> est la pièce de bois formant la limite arrière de la coque du bateau.</w:t>
      </w:r>
    </w:p>
  </w:footnote>
  <w:footnote w:id="22">
    <w:p>
      <w:pPr>
        <w:pStyle w:val="Notedebasdepage"/>
      </w:pPr>
      <w:r>
        <w:rPr>
          <w:rStyle w:val="Appelnotedebasdep"/>
        </w:rPr>
        <w:footnoteRef/>
        <w:t xml:space="preserve"> </w:t>
      </w:r>
      <w:r>
        <w:rPr/>
        <w:t xml:space="preserve">La Nouvelle-Hollande s’appelle aujourd’hui Australie.</w:t>
      </w:r>
    </w:p>
  </w:footnote>
  <w:footnote w:id="23">
    <w:p>
      <w:pPr>
        <w:pStyle w:val="Notedebasdepage"/>
      </w:pPr>
      <w:r>
        <w:rPr>
          <w:rStyle w:val="Appelnotedebasdep"/>
        </w:rPr>
        <w:footnoteRef/>
        <w:t xml:space="preserve"> </w:t>
      </w:r>
      <w:r>
        <w:rPr/>
        <w:t xml:space="preserve">Le </w:t>
      </w:r>
      <w:r>
        <w:rPr>
          <w:i/>
        </w:rPr>
        <w:t xml:space="preserve">kraken</w:t>
      </w:r>
      <w:r>
        <w:rPr/>
        <w:t xml:space="preserve"> est une voile complémentaire.</w:t>
      </w:r>
    </w:p>
  </w:footnote>
  <w:footnote w:id="24">
    <w:p>
      <w:pPr>
        <w:pStyle w:val="Notedebasdepage"/>
      </w:pPr>
      <w:r>
        <w:rPr>
          <w:rStyle w:val="Appelnotedebasdep"/>
        </w:rPr>
        <w:footnoteRef/>
        <w:t xml:space="preserve"> </w:t>
      </w:r>
      <w:r>
        <w:rPr/>
        <w:t xml:space="preserve">Une </w:t>
      </w:r>
      <w:r>
        <w:rPr>
          <w:i/>
        </w:rPr>
        <w:t xml:space="preserve">bonnette</w:t>
      </w:r>
      <w:r>
        <w:rPr/>
        <w:t xml:space="preserve"> est une voile complémentaire.</w:t>
      </w:r>
    </w:p>
  </w:footnote>
  <w:footnote w:id="25">
    <w:p>
      <w:pPr>
        <w:pStyle w:val="Notedebasdepage"/>
      </w:pPr>
      <w:r>
        <w:rPr>
          <w:rStyle w:val="Appelnotedebasdep"/>
        </w:rPr>
        <w:footnoteRef/>
        <w:t xml:space="preserve"> </w:t>
      </w:r>
      <w:r>
        <w:rPr/>
        <w:t xml:space="preserve">Les </w:t>
      </w:r>
      <w:r>
        <w:rPr>
          <w:i/>
        </w:rPr>
        <w:t xml:space="preserve">espars</w:t>
      </w:r>
      <w:r>
        <w:rPr/>
        <w:t xml:space="preserve"> sont les pièces de bois de la mâture.</w:t>
      </w:r>
    </w:p>
  </w:footnote>
  <w:footnote w:id="26">
    <w:p>
      <w:pPr>
        <w:pStyle w:val="Notedebasdepage"/>
      </w:pPr>
      <w:r>
        <w:rPr>
          <w:rStyle w:val="Appelnotedebasdep"/>
        </w:rPr>
        <w:footnoteRef/>
        <w:t xml:space="preserve"> </w:t>
      </w:r>
      <w:r>
        <w:rPr/>
        <w:t xml:space="preserve">Un </w:t>
      </w:r>
      <w:r>
        <w:rPr>
          <w:i/>
        </w:rPr>
        <w:t xml:space="preserve">apophtegme</w:t>
      </w:r>
      <w:r>
        <w:rPr/>
        <w:t xml:space="preserve"> est un énoncé concis et mémorable, une </w:t>
      </w:r>
      <w:r>
        <w:rPr>
          <w:i/>
        </w:rPr>
        <w:t xml:space="preserve">sentence.</w:t>
      </w:r>
    </w:p>
  </w:footnote>
  <w:footnote w:id="27">
    <w:p>
      <w:pPr>
        <w:pStyle w:val="Notedebasdepage"/>
      </w:pPr>
      <w:r>
        <w:rPr>
          <w:rStyle w:val="Appelnotedebasdep"/>
        </w:rPr>
        <w:footnoteRef/>
        <w:t xml:space="preserve"> </w:t>
      </w:r>
      <w:r>
        <w:rPr/>
        <w:t xml:space="preserve">Une </w:t>
      </w:r>
      <w:r>
        <w:rPr>
          <w:i/>
        </w:rPr>
        <w:t xml:space="preserve">commission</w:t>
      </w:r>
      <w:r>
        <w:rPr/>
        <w:t xml:space="preserve"> désigne ici un ordre de mission ou un titre délivré par le roi.</w:t>
      </w:r>
    </w:p>
  </w:footnote>
  <w:footnote w:id="28">
    <w:p>
      <w:pPr>
        <w:pStyle w:val="Notedebasdepage"/>
      </w:pPr>
      <w:r>
        <w:rPr>
          <w:rStyle w:val="Appelnotedebasdep"/>
        </w:rPr>
        <w:footnoteRef/>
        <w:t xml:space="preserve"> </w:t>
      </w:r>
      <w:r>
        <w:rPr/>
        <w:t xml:space="preserve">Le </w:t>
      </w:r>
      <w:r>
        <w:rPr>
          <w:i/>
        </w:rPr>
        <w:t xml:space="preserve">Manuscrit trouvé dans une bouteille</w:t>
      </w:r>
      <w:r>
        <w:rPr/>
        <w:t xml:space="preserve"> fut publié pour la première fois en 1831, et ce ne fut que bien des années plus tard que j’eus connaissance des cartes de Mercator, dans lesquelles on voit l’Océan se précipiter par quatre embouchures dans le gouffre polaire (au nord) et s’absorber dans les entrailles de la terre ; le pôle lui-même y est figuré par un rocher noir, s’élevant à une prodigieuse hauteur. (E.A.P.)</w:t>
      </w:r>
    </w:p>
  </w:footnote>
  <w:footnote w:id="29">
    <w:p>
      <w:pPr>
        <w:pStyle w:val="Notedebasdepage"/>
      </w:pPr>
      <w:r>
        <w:rPr>
          <w:rStyle w:val="Appelnotedebasdep"/>
        </w:rPr>
        <w:footnoteRef/>
        <w:t xml:space="preserve"> </w:t>
      </w:r>
      <w:r>
        <w:rPr/>
        <w:t xml:space="preserve">Le </w:t>
      </w:r>
      <w:r>
        <w:rPr>
          <w:i/>
        </w:rPr>
        <w:t xml:space="preserve">vortex</w:t>
      </w:r>
      <w:r>
        <w:rPr/>
        <w:t xml:space="preserve"> est un tourbillon creux.</w:t>
      </w:r>
    </w:p>
  </w:footnote>
  <w:footnote w:id="30">
    <w:p>
      <w:pPr>
        <w:pStyle w:val="Notedebasdepage"/>
      </w:pPr>
      <w:r>
        <w:rPr>
          <w:rStyle w:val="Appelnotedebasdep"/>
        </w:rPr>
        <w:footnoteRef/>
        <w:t xml:space="preserve"> </w:t>
      </w:r>
      <w:r>
        <w:rPr/>
        <w:t xml:space="preserve">Un des fleuves des Enfers.</w:t>
      </w:r>
    </w:p>
  </w:footnote>
  <w:footnote w:id="31">
    <w:p>
      <w:pPr>
        <w:pStyle w:val="Notedebasdepage"/>
      </w:pPr>
      <w:r>
        <w:rPr>
          <w:rStyle w:val="Appelnotedebasdep"/>
        </w:rPr>
        <w:footnoteRef/>
        <w:t xml:space="preserve"> </w:t>
      </w:r>
      <w:r>
        <w:rPr/>
        <w:t xml:space="preserve">Archimède, </w:t>
      </w:r>
      <w:r>
        <w:rPr>
          <w:i/>
        </w:rPr>
        <w:t xml:space="preserve">De occidentibus in fluido</w:t>
      </w:r>
      <w:r>
        <w:rPr/>
        <w:t xml:space="preserve"> (E.A.P.)</w:t>
      </w:r>
    </w:p>
  </w:footnote>
  <w:footnote w:id="32">
    <w:p>
      <w:pPr>
        <w:pStyle w:val="Notedebasdepage"/>
      </w:pPr>
      <w:r>
        <w:rPr>
          <w:rStyle w:val="Appelnotedebasdep"/>
        </w:rPr>
        <w:footnoteRef/>
        <w:t xml:space="preserve"> </w:t>
      </w:r>
      <w:r>
        <w:rPr/>
        <w:t xml:space="preserve">La </w:t>
      </w:r>
      <w:r>
        <w:rPr>
          <w:i/>
        </w:rPr>
        <w:t xml:space="preserve">catalepsie</w:t>
      </w:r>
      <w:r>
        <w:rPr/>
        <w:t xml:space="preserve"> est un état pathologique dans lequel les membres du sujet inconscient restent inertes, rigides et gardent la position qu’on leur donne.</w:t>
      </w:r>
    </w:p>
  </w:footnote>
  <w:footnote w:id="33">
    <w:p>
      <w:pPr>
        <w:pStyle w:val="Notedebasdepage"/>
      </w:pPr>
      <w:r>
        <w:rPr>
          <w:rStyle w:val="Appelnotedebasdep"/>
        </w:rPr>
        <w:footnoteRef/>
        <w:t xml:space="preserve"> </w:t>
      </w:r>
      <w:r>
        <w:rPr/>
        <w:t xml:space="preserve">En rapport avec la </w:t>
      </w:r>
      <w:r>
        <w:rPr>
          <w:i/>
        </w:rPr>
        <w:t xml:space="preserve">fièvre hectique</w:t>
      </w:r>
      <w:r>
        <w:rPr/>
        <w:t xml:space="preserve">, une fièvre continue et amaigrissante.</w:t>
      </w:r>
    </w:p>
  </w:footnote>
  <w:footnote w:id="34">
    <w:p>
      <w:pPr>
        <w:pStyle w:val="Notedebasdepage"/>
      </w:pPr>
      <w:r>
        <w:rPr>
          <w:rStyle w:val="Appelnotedebasdep"/>
        </w:rPr>
        <w:footnoteRef/>
        <w:t xml:space="preserve"> </w:t>
      </w:r>
      <w:r>
        <w:rPr/>
        <w:t xml:space="preserve">Roman paru en 1840, dans lequel Brownson, un presbytérien converti au catholicisme, développe une doctrine de la connaissance intuitive de Dieu.</w:t>
      </w:r>
    </w:p>
  </w:footnote>
  <w:footnote w:id="35">
    <w:p>
      <w:pPr>
        <w:pStyle w:val="Notedebasdepage"/>
      </w:pPr>
      <w:r>
        <w:rPr>
          <w:rStyle w:val="Appelnotedebasdep"/>
        </w:rPr>
        <w:footnoteRef/>
        <w:t xml:space="preserve"> </w:t>
      </w:r>
      <w:r>
        <w:rPr/>
        <w:t xml:space="preserve">Trinculo est le bouffon de </w:t>
      </w:r>
      <w:r>
        <w:rPr>
          <w:i/>
        </w:rPr>
        <w:t xml:space="preserve">La Tempête</w:t>
      </w:r>
      <w:r>
        <w:rPr/>
        <w:t xml:space="preserve"> de Shakespeare ; dans une scène burlesque (III, 2) il s’imagine un moment vice-roi de l’île où il fait naufrage, avant de suivre Stefano, le sommelier de l’ivrogne.</w:t>
      </w:r>
    </w:p>
  </w:footnote>
  <w:footnote w:id="36">
    <w:p>
      <w:pPr>
        <w:pStyle w:val="Notedebasdepage"/>
      </w:pPr>
      <w:r>
        <w:rPr>
          <w:rStyle w:val="Appelnotedebasdep"/>
        </w:rPr>
        <w:footnoteRef/>
        <w:t xml:space="preserve"> </w:t>
      </w:r>
      <w:r>
        <w:rPr>
          <w:i/>
        </w:rPr>
        <w:t xml:space="preserve">Azraël</w:t>
      </w:r>
      <w:r>
        <w:rPr/>
        <w:t xml:space="preserve"> est le nom de l’ange de la mort dans l’Islam.</w:t>
      </w:r>
    </w:p>
  </w:footnote>
  <w:footnote w:id="37">
    <w:p>
      <w:pPr>
        <w:pStyle w:val="Notedebasdepage"/>
      </w:pPr>
      <w:r>
        <w:rPr>
          <w:rStyle w:val="Appelnotedebasdep"/>
        </w:rPr>
        <w:footnoteRef/>
        <w:t xml:space="preserve"> </w:t>
      </w:r>
      <w:r>
        <w:rPr>
          <w:i/>
        </w:rPr>
        <w:t xml:space="preserve">Ragged Mountains</w:t>
      </w:r>
      <w:r>
        <w:rPr/>
        <w:t xml:space="preserve"> : Montagnes déchirées ; une branche des </w:t>
      </w:r>
      <w:r>
        <w:rPr>
          <w:i/>
        </w:rPr>
        <w:t xml:space="preserve">Montagnes bleues, Blue Ridge</w:t>
      </w:r>
      <w:r>
        <w:rPr/>
        <w:t xml:space="preserve">, partie orientale des Alleghanys. (C.B.)</w:t>
      </w:r>
    </w:p>
  </w:footnote>
  <w:footnote w:id="38">
    <w:p>
      <w:pPr>
        <w:pStyle w:val="Notedebasdepage"/>
      </w:pPr>
      <w:r>
        <w:rPr>
          <w:rStyle w:val="Appelnotedebasdep"/>
        </w:rPr>
        <w:footnoteRef/>
        <w:t xml:space="preserve"> </w:t>
      </w:r>
      <w:r>
        <w:rPr/>
        <w:t xml:space="preserve">Friedrich, baron von Hardenberg, dit Novalis (1772-1801), est un célèbre poète romantique allemand.</w:t>
      </w:r>
    </w:p>
  </w:footnote>
  <w:footnote w:id="39">
    <w:p>
      <w:pPr>
        <w:pStyle w:val="Notedebasdepage"/>
      </w:pPr>
      <w:r>
        <w:rPr>
          <w:rStyle w:val="Appelnotedebasdep"/>
        </w:rPr>
        <w:footnoteRef/>
        <w:t xml:space="preserve"> </w:t>
      </w:r>
      <w:r>
        <w:rPr/>
        <w:t xml:space="preserve">La </w:t>
      </w:r>
      <w:r>
        <w:rPr>
          <w:i/>
        </w:rPr>
        <w:t xml:space="preserve">Géhenne</w:t>
      </w:r>
      <w:r>
        <w:rPr/>
        <w:t xml:space="preserve"> est l’Enfer, dans le langage biblique.</w:t>
      </w:r>
    </w:p>
  </w:footnote>
  <w:footnote w:id="40">
    <w:p>
      <w:pPr>
        <w:pStyle w:val="Notedebasdepage"/>
      </w:pPr>
      <w:r>
        <w:rPr>
          <w:rStyle w:val="Appelnotedebasdep"/>
        </w:rPr>
        <w:footnoteRef/>
        <w:t xml:space="preserve"> </w:t>
      </w:r>
      <w:r>
        <w:rPr/>
        <w:t xml:space="preserve">La </w:t>
      </w:r>
      <w:r>
        <w:rPr>
          <w:i/>
        </w:rPr>
        <w:t xml:space="preserve">palingénésie</w:t>
      </w:r>
      <w:r>
        <w:rPr/>
        <w:t xml:space="preserve"> est la croyance en la répétition cyclique des événements et des vies. Fichte (1762-1814) et Schelling (1775-1854) sont deux philosophes allemands dont les théories ont été reprises par les Romantiques allemands.</w:t>
      </w:r>
    </w:p>
  </w:footnote>
  <w:footnote w:id="41">
    <w:p>
      <w:pPr>
        <w:pStyle w:val="Notedebasdepage"/>
      </w:pPr>
      <w:r>
        <w:rPr>
          <w:rStyle w:val="Appelnotedebasdep"/>
        </w:rPr>
        <w:footnoteRef/>
        <w:t xml:space="preserve"> </w:t>
      </w:r>
      <w:r>
        <w:rPr/>
        <w:t xml:space="preserve">L’Homme de Téos, c’est Anacréon de Téos (VI</w:t>
      </w:r>
      <w:r>
        <w:rPr>
          <w:vertAlign w:val="superscript"/>
        </w:rPr>
        <w:t>ᵉ</w:t>
      </w:r>
      <w:r>
        <w:rPr/>
        <w:t xml:space="preserve"> s. av. J.-C.).</w:t>
      </w:r>
    </w:p>
  </w:footnote>
  <w:footnote w:id="42">
    <w:p>
      <w:pPr>
        <w:pStyle w:val="Notedebasdepage"/>
      </w:pPr>
      <w:r>
        <w:rPr>
          <w:rStyle w:val="Appelnotedebasdep"/>
        </w:rPr>
        <w:footnoteRef/>
        <w:t xml:space="preserve"> </w:t>
      </w:r>
      <w:r>
        <w:rPr>
          <w:i/>
        </w:rPr>
        <w:t xml:space="preserve">Deux lustres</w:t>
      </w:r>
      <w:r>
        <w:rPr/>
        <w:t xml:space="preserve">, c’est-à-dire deux fois cinq ans.</w:t>
      </w:r>
    </w:p>
  </w:footnote>
  <w:footnote w:id="43">
    <w:p>
      <w:pPr>
        <w:pStyle w:val="Notedebasdepage"/>
      </w:pPr>
      <w:r>
        <w:rPr>
          <w:rStyle w:val="Appelnotedebasdep"/>
        </w:rPr>
        <w:footnoteRef/>
        <w:t xml:space="preserve"> </w:t>
      </w:r>
      <w:r>
        <w:rPr/>
        <w:t xml:space="preserve">Cléomènes est un sculpteur athénien, à qui on attribue la Vénus dite </w:t>
      </w:r>
      <w:r>
        <w:rPr>
          <w:i/>
        </w:rPr>
        <w:t xml:space="preserve">de Médicis</w:t>
      </w:r>
      <w:r>
        <w:rPr/>
        <w:t xml:space="preserve"> (Florence).</w:t>
      </w:r>
    </w:p>
  </w:footnote>
  <w:footnote w:id="44">
    <w:p>
      <w:pPr>
        <w:pStyle w:val="Notedebasdepage"/>
      </w:pPr>
      <w:r>
        <w:rPr>
          <w:rStyle w:val="Appelnotedebasdep"/>
        </w:rPr>
        <w:footnoteRef/>
        <w:t xml:space="preserve"> </w:t>
      </w:r>
      <w:r>
        <w:rPr/>
        <w:t xml:space="preserve">La </w:t>
      </w:r>
      <w:r>
        <w:rPr>
          <w:i/>
        </w:rPr>
        <w:t xml:space="preserve">houri</w:t>
      </w:r>
      <w:r>
        <w:rPr/>
        <w:t xml:space="preserve"> est la femme divinement belle que le Coran promet, dans la vie future, au fidèle musulman.</w:t>
      </w:r>
    </w:p>
  </w:footnote>
  <w:footnote w:id="45">
    <w:p>
      <w:pPr>
        <w:pStyle w:val="Notedebasdepage"/>
      </w:pPr>
      <w:r>
        <w:rPr>
          <w:rStyle w:val="Appelnotedebasdep"/>
        </w:rPr>
        <w:footnoteRef/>
        <w:t xml:space="preserve"> </w:t>
      </w:r>
      <w:r>
        <w:rPr/>
        <w:t xml:space="preserve">Mercier, dans </w:t>
      </w:r>
      <w:r>
        <w:rPr>
          <w:i/>
        </w:rPr>
        <w:t xml:space="preserve">L’An deux mil quatre cent quarante</w:t>
      </w:r>
      <w:r>
        <w:rPr/>
        <w:t xml:space="preserve">, soutient sérieusement les doctrines de la métempsycose, et J. d’Israeli dit qu’</w:t>
      </w:r>
      <w:r>
        <w:rPr>
          <w:i/>
        </w:rPr>
        <w:t xml:space="preserve">il n’y a pas de système aussi simple et qui répugne moins à l’intelligence</w:t>
      </w:r>
      <w:r>
        <w:rPr/>
        <w:t xml:space="preserve">. Le colonel Ethan Allen, le </w:t>
      </w:r>
      <w:r>
        <w:rPr>
          <w:i/>
        </w:rPr>
        <w:t xml:space="preserve">Green Mountain Boa</w:t>
      </w:r>
      <w:r>
        <w:rPr/>
        <w:t xml:space="preserve">, passe aussi pour avoir été un sérieux métempsycosiste. – (E.A.P.) La citation est en fait de Pascal et non de la La Bruyère.</w:t>
      </w:r>
    </w:p>
  </w:footnote>
  <w:footnote w:id="46">
    <w:p>
      <w:pPr>
        <w:pStyle w:val="Notedebasdepage"/>
      </w:pPr>
      <w:r>
        <w:rPr>
          <w:rStyle w:val="Appelnotedebasdep"/>
        </w:rPr>
        <w:footnoteRef/>
        <w:t xml:space="preserve"> </w:t>
      </w:r>
      <w:r>
        <w:rPr/>
        <w:t xml:space="preserve">J’ignore quel est l’auteur de ce texte bizarre et obscur ; cependant, je me suis permis de le rectifier légèrement, en l’adaptant au sens moral du récit. Poe cite quelquefois de mémoire et incorrectement. Le sens, après tout, me semble se rapprocher de l’opinion attribuée au père Kircher, – que les animaux sont des Esprits enfermés. – (C.B.)</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beq.ebooksgratuits.com/vents/poe-1.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