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Leyde, Noothoven van Goor, 1862. Paris, Cherbuliez. Ouvrage couronné par la société de La Haye pour la défense de la religion chrétienne.</w:t>
      </w:r>
    </w:p>
  </w:footnote>
  <w:footnote w:id="2">
    <w:p>
      <w:pPr>
        <w:pStyle w:val="Notedebasdepage"/>
      </w:pPr>
      <w:r>
        <w:rPr>
          <w:rStyle w:val="Appelnotedebasdep"/>
        </w:rPr>
        <w:footnoteRef/>
        <w:t xml:space="preserve"> </w:t>
      </w:r>
      <w:r>
        <w:rPr/>
        <w:t xml:space="preserve"> Strasbourg, Treuttel et Wurtz. 2</w:t>
      </w:r>
      <w:r>
        <w:rPr>
          <w:vertAlign w:val="superscript"/>
        </w:rPr>
        <w:t>e</w:t>
      </w:r>
      <w:r>
        <w:rPr/>
        <w:t xml:space="preserve"> édition, 1860. Paris, Cherbuliez.</w:t>
      </w:r>
    </w:p>
  </w:footnote>
  <w:footnote w:id="3">
    <w:p>
      <w:pPr>
        <w:pStyle w:val="Notedebasdepage"/>
      </w:pPr>
      <w:r>
        <w:rPr>
          <w:rStyle w:val="Appelnotedebasdep"/>
        </w:rPr>
        <w:footnoteRef/>
        <w:t xml:space="preserve"> </w:t>
      </w:r>
      <w:r>
        <w:rPr/>
        <w:t xml:space="preserve">Paris, Michel Lévy frères, 1860.</w:t>
      </w:r>
    </w:p>
  </w:footnote>
  <w:footnote w:id="4">
    <w:p>
      <w:pPr>
        <w:pStyle w:val="Notedebasdepage"/>
      </w:pPr>
      <w:r>
        <w:rPr>
          <w:rStyle w:val="Appelnotedebasdep"/>
        </w:rPr>
        <w:footnoteRef/>
        <w:t xml:space="preserve"> </w:t>
      </w:r>
      <w:r>
        <w:rPr/>
        <w:t xml:space="preserve"> Paris, Ladrange. 2</w:t>
      </w:r>
      <w:r>
        <w:rPr>
          <w:vertAlign w:val="superscript"/>
        </w:rPr>
        <w:t>e</w:t>
      </w:r>
      <w:r>
        <w:rPr/>
        <w:t xml:space="preserve"> édition, 1856.</w:t>
      </w:r>
    </w:p>
  </w:footnote>
  <w:footnote w:id="5">
    <w:p>
      <w:pPr>
        <w:pStyle w:val="Notedebasdepage"/>
      </w:pPr>
      <w:r>
        <w:rPr>
          <w:rStyle w:val="Appelnotedebasdep"/>
        </w:rPr>
        <w:footnoteRef/>
        <w:t xml:space="preserve"> </w:t>
      </w:r>
      <w:r>
        <w:rPr/>
        <w:t xml:space="preserve">Strasbourg, Treuttel et Wurtz. Paris, Cherbuliez.</w:t>
      </w:r>
    </w:p>
  </w:footnote>
  <w:footnote w:id="6">
    <w:p>
      <w:pPr>
        <w:pStyle w:val="Notedebasdepage"/>
      </w:pPr>
      <w:r>
        <w:rPr>
          <w:rStyle w:val="Appelnotedebasdep"/>
        </w:rPr>
        <w:footnoteRef/>
        <w:t xml:space="preserve"> </w:t>
      </w:r>
      <w:r>
        <w:rPr/>
        <w:t xml:space="preserve"> Au moment où ces pages s’impriment, paraît un livre que je n’hésite pas à joindre aux précédents, quoique je n’aie pu le lire avec l’attention qu’il mérite : </w:t>
      </w:r>
      <w:r>
        <w:rPr>
          <w:i/>
        </w:rPr>
        <w:t xml:space="preserve">Les Évangiles</w:t>
      </w:r>
      <w:r>
        <w:rPr/>
        <w:t xml:space="preserve">, par M. Gustave d’Eichthal. Première partie : </w:t>
      </w:r>
      <w:r>
        <w:rPr>
          <w:i/>
        </w:rPr>
        <w:t xml:space="preserve">Examen critique et comparatif des trois premiers évangiles</w:t>
      </w:r>
      <w:r>
        <w:rPr/>
        <w:t xml:space="preserve">. Paris, Hachette, 1863.</w:t>
      </w:r>
    </w:p>
  </w:footnote>
  <w:footnote w:id="7">
    <w:p>
      <w:pPr>
        <w:pStyle w:val="Notedebasdepage"/>
      </w:pPr>
      <w:r>
        <w:rPr>
          <w:rStyle w:val="Appelnotedebasdep"/>
        </w:rPr>
        <w:footnoteRef/>
        <w:t xml:space="preserve"> </w:t>
      </w:r>
      <w:r>
        <w:rPr/>
        <w:t xml:space="preserve">Les grands résultats obtenus sur ce point n’ont été acquis que depuis la première édition de l’ouvrage de M. Strauss. Le savant critique y a, du reste, fait droit dans ses éditions successives avec beaucoup de bonne foi.</w:t>
      </w:r>
    </w:p>
  </w:footnote>
  <w:footnote w:id="8">
    <w:p>
      <w:pPr>
        <w:pStyle w:val="Notedebasdepage"/>
      </w:pPr>
      <w:r>
        <w:rPr>
          <w:rStyle w:val="Appelnotedebasdep"/>
        </w:rPr>
        <w:footnoteRef/>
        <w:t xml:space="preserve"> </w:t>
      </w:r>
      <w:r>
        <w:rPr/>
        <w:t xml:space="preserve">Il est à peine besoin de rappeler que pas un mot, dans le livre de M. Strauss, ne justifie l’étrange et absurde calomnie par laquelle on a tenté de décréditer auprès des personnes superficielles un livre commode, exact, spirituel et consciencieux, quoique gâté dans ses parties générales par un système exclusif. Non-seulement M. Strauss n’a jamais nié l’existence de Jésus, mais chaque page de son livre implique cette existence. Ce qui est vrai, c’est que M. Strauss suppose le caractère individuel de Jésus plus effacé pour nous qu’il ne l’est peut-être en réalité.</w:t>
      </w:r>
    </w:p>
  </w:footnote>
  <w:footnote w:id="9">
    <w:p>
      <w:pPr>
        <w:pStyle w:val="Notedebasdepage"/>
      </w:pPr>
      <w:r>
        <w:rPr>
          <w:rStyle w:val="Appelnotedebasdep"/>
        </w:rPr>
        <w:footnoteRef/>
        <w:t xml:space="preserve"> </w:t>
      </w:r>
      <w:r>
        <w:rPr>
          <w:i/>
        </w:rPr>
        <w:t xml:space="preserve">Ant</w:t>
      </w:r>
      <w:r>
        <w:rPr/>
        <w:t xml:space="preserve">., XVIII, III, 3.</w:t>
      </w:r>
    </w:p>
  </w:footnote>
  <w:footnote w:id="10">
    <w:p>
      <w:pPr>
        <w:pStyle w:val="Notedebasdepage"/>
      </w:pPr>
      <w:r>
        <w:rPr>
          <w:rStyle w:val="Appelnotedebasdep"/>
        </w:rPr>
        <w:footnoteRef/>
        <w:t xml:space="preserve"> </w:t>
      </w:r>
      <w:r>
        <w:rPr/>
        <w:t xml:space="preserve">« S’il est permis de l’appeler homme. »</w:t>
      </w:r>
    </w:p>
  </w:footnote>
  <w:footnote w:id="11">
    <w:p>
      <w:pPr>
        <w:pStyle w:val="Notedebasdepage"/>
      </w:pPr>
      <w:r>
        <w:rPr>
          <w:rStyle w:val="Appelnotedebasdep"/>
        </w:rPr>
        <w:footnoteRef/>
        <w:t xml:space="preserve"> </w:t>
      </w:r>
      <w:r>
        <w:rPr/>
        <w:t xml:space="preserve"> Au lieu de [Greek : christos outos ên] il y avait sûrement [Greek : christos outos elgeto]. Cf. </w:t>
      </w:r>
      <w:r>
        <w:rPr>
          <w:i/>
        </w:rPr>
        <w:t xml:space="preserve">Ant.</w:t>
      </w:r>
      <w:r>
        <w:rPr/>
        <w:t xml:space="preserve">, XX, IX, 1.</w:t>
      </w:r>
    </w:p>
  </w:footnote>
  <w:footnote w:id="12">
    <w:p>
      <w:pPr>
        <w:pStyle w:val="Notedebasdepage"/>
      </w:pPr>
      <w:r>
        <w:rPr>
          <w:rStyle w:val="Appelnotedebasdep"/>
        </w:rPr>
        <w:footnoteRef/>
        <w:t xml:space="preserve"> </w:t>
      </w:r>
      <w:r>
        <w:rPr/>
        <w:t xml:space="preserve"> Eusèbe (</w:t>
      </w:r>
      <w:r>
        <w:rPr>
          <w:i/>
        </w:rPr>
        <w:t xml:space="preserve">Hist. eccl.</w:t>
      </w:r>
      <w:r>
        <w:rPr/>
        <w:t xml:space="preserve"> I, 11, et </w:t>
      </w:r>
      <w:r>
        <w:rPr>
          <w:i/>
        </w:rPr>
        <w:t xml:space="preserve">Démonstr. évang.</w:t>
      </w:r>
      <w:r>
        <w:rPr/>
        <w:t xml:space="preserve">, III, 5) cite le passage sur Jésus comme nous le lisons maintenant dans Josèphe. Origène (</w:t>
      </w:r>
      <w:r>
        <w:rPr>
          <w:i/>
        </w:rPr>
        <w:t xml:space="preserve">Contre Celse</w:t>
      </w:r>
      <w:r>
        <w:rPr/>
        <w:t xml:space="preserve">, I, 47 ; II, 13) et Eusèbe (</w:t>
      </w:r>
      <w:r>
        <w:rPr>
          <w:i/>
        </w:rPr>
        <w:t xml:space="preserve">Hist. eccl.</w:t>
      </w:r>
      <w:r>
        <w:rPr/>
        <w:t xml:space="preserve">, II, 23) citent une autre interpolation chrétienne, laquelle ne se trouve dans aucun des manuscrits de Josèphe qui sont parvenus jusqu’à nous.</w:t>
      </w:r>
    </w:p>
  </w:footnote>
  <w:footnote w:id="13">
    <w:p>
      <w:pPr>
        <w:pStyle w:val="Notedebasdepage"/>
      </w:pPr>
      <w:r>
        <w:rPr>
          <w:rStyle w:val="Appelnotedebasdep"/>
        </w:rPr>
        <w:footnoteRef/>
        <w:t xml:space="preserve"> </w:t>
      </w:r>
      <w:r>
        <w:rPr/>
        <w:t xml:space="preserve">Judæ Epist., 14.</w:t>
      </w:r>
    </w:p>
  </w:footnote>
  <w:footnote w:id="14">
    <w:p>
      <w:pPr>
        <w:pStyle w:val="Notedebasdepage"/>
      </w:pPr>
      <w:r>
        <w:rPr>
          <w:rStyle w:val="Appelnotedebasdep"/>
        </w:rPr>
        <w:footnoteRef/>
        <w:t xml:space="preserve"> </w:t>
      </w:r>
      <w:r>
        <w:rPr/>
        <w:t xml:space="preserve"> Les personnes qui souhaiteraient de plus amples développements peuvent lire, outre l’ouvrage de M. Réville précité, les travaux de MM. Reuss et Scherer dans la </w:t>
      </w:r>
      <w:r>
        <w:rPr>
          <w:i/>
        </w:rPr>
        <w:t xml:space="preserve">Revue de théologie</w:t>
      </w:r>
      <w:r>
        <w:rPr/>
        <w:t xml:space="preserve">, t. X, XI, XV ; nouv. série, II, III, IV, et celui de M. Nicolas dans la </w:t>
      </w:r>
      <w:r>
        <w:rPr>
          <w:i/>
        </w:rPr>
        <w:t xml:space="preserve">Revue germanique</w:t>
      </w:r>
      <w:r>
        <w:rPr/>
        <w:t xml:space="preserve">, sept, et déc. 1862, avril et juin 1863.</w:t>
      </w:r>
    </w:p>
  </w:footnote>
  <w:footnote w:id="15">
    <w:p>
      <w:pPr>
        <w:pStyle w:val="Notedebasdepage"/>
      </w:pPr>
      <w:r>
        <w:rPr>
          <w:rStyle w:val="Appelnotedebasdep"/>
        </w:rPr>
        <w:footnoteRef/>
        <w:t xml:space="preserve"> </w:t>
      </w:r>
      <w:r>
        <w:rPr/>
        <w:t xml:space="preserve">C’est ainsi qu’on disait : « l’Évangile selon les Hébreux », « l’Évangile selon les Égyptiens. »</w:t>
      </w:r>
    </w:p>
  </w:footnote>
  <w:footnote w:id="16">
    <w:p>
      <w:pPr>
        <w:pStyle w:val="Notedebasdepage"/>
      </w:pPr>
      <w:r>
        <w:rPr>
          <w:rStyle w:val="Appelnotedebasdep"/>
        </w:rPr>
        <w:footnoteRef/>
        <w:t xml:space="preserve"> </w:t>
      </w:r>
      <w:r>
        <w:rPr/>
        <w:t xml:space="preserve">Luc, I, 1-4.</w:t>
      </w:r>
    </w:p>
  </w:footnote>
  <w:footnote w:id="17">
    <w:p>
      <w:pPr>
        <w:pStyle w:val="Notedebasdepage"/>
      </w:pPr>
      <w:r>
        <w:rPr>
          <w:rStyle w:val="Appelnotedebasdep"/>
        </w:rPr>
        <w:footnoteRef/>
        <w:t xml:space="preserve"> </w:t>
      </w:r>
      <w:r>
        <w:rPr>
          <w:i/>
        </w:rPr>
        <w:t xml:space="preserve">Act.</w:t>
      </w:r>
      <w:r>
        <w:rPr/>
        <w:t xml:space="preserve">, I, 1. Comp. Luc, I, 1-4.</w:t>
      </w:r>
    </w:p>
  </w:footnote>
  <w:footnote w:id="18">
    <w:p>
      <w:pPr>
        <w:pStyle w:val="Notedebasdepage"/>
      </w:pPr>
      <w:r>
        <w:rPr>
          <w:rStyle w:val="Appelnotedebasdep"/>
        </w:rPr>
        <w:footnoteRef/>
        <w:t xml:space="preserve"> </w:t>
      </w:r>
      <w:r>
        <w:rPr/>
        <w:t xml:space="preserve"> À partir de XVI, 10, l’auteur se donne pour témoin oculaire.</w:t>
      </w:r>
    </w:p>
  </w:footnote>
  <w:footnote w:id="19">
    <w:p>
      <w:pPr>
        <w:pStyle w:val="Notedebasdepage"/>
      </w:pPr>
      <w:r>
        <w:rPr>
          <w:rStyle w:val="Appelnotedebasdep"/>
        </w:rPr>
        <w:footnoteRef/>
        <w:t xml:space="preserve"> </w:t>
      </w:r>
      <w:r>
        <w:rPr/>
        <w:t xml:space="preserve"> II Tim., IV, 44 ; Philem., 24, Col., IV, 14. Le nom de </w:t>
      </w:r>
      <w:r>
        <w:rPr>
          <w:i/>
        </w:rPr>
        <w:t xml:space="preserve">Lucas</w:t>
      </w:r>
      <w:r>
        <w:rPr/>
        <w:t xml:space="preserve"> (contraction de </w:t>
      </w:r>
      <w:r>
        <w:rPr>
          <w:i/>
        </w:rPr>
        <w:t xml:space="preserve">Lucanus</w:t>
      </w:r>
      <w:r>
        <w:rPr/>
        <w:t xml:space="preserve">) étant fort rare, on n’a pas à craindre ici une de ces homonymies qui jettent tant de perplexités dans les questions de critique relatives au Nouveau Testament.</w:t>
      </w:r>
    </w:p>
  </w:footnote>
  <w:footnote w:id="20">
    <w:p>
      <w:pPr>
        <w:pStyle w:val="Notedebasdepage"/>
      </w:pPr>
      <w:r>
        <w:rPr>
          <w:rStyle w:val="Appelnotedebasdep"/>
        </w:rPr>
        <w:footnoteRef/>
        <w:t xml:space="preserve"> </w:t>
      </w:r>
      <w:r>
        <w:rPr/>
        <w:t xml:space="preserve">Versets 9, 20, 24, 28, 32. Comp. XXII, 36.</w:t>
      </w:r>
    </w:p>
  </w:footnote>
  <w:footnote w:id="21">
    <w:p>
      <w:pPr>
        <w:pStyle w:val="Notedebasdepage"/>
      </w:pPr>
      <w:r>
        <w:rPr>
          <w:rStyle w:val="Appelnotedebasdep"/>
        </w:rPr>
        <w:footnoteRef/>
        <w:t xml:space="preserve"> </w:t>
      </w:r>
      <w:r>
        <w:rPr/>
        <w:t xml:space="preserve"> Dans Eusèbe, </w:t>
      </w:r>
      <w:r>
        <w:rPr>
          <w:i/>
        </w:rPr>
        <w:t xml:space="preserve">Hist. eccl</w:t>
      </w:r>
      <w:r>
        <w:rPr/>
        <w:t xml:space="preserve">., III, 39. On ne saurait élever un doute quelconque sur l’authenticité de ce passage. Eusèbe, en effet, loin d’exagérer l’autorité de Papias, est embarrassé de sa naïveté, de son millénarisme grossier, et se tire d’affaire en le traitant de petit esprit. Comp. Irénée, </w:t>
      </w:r>
      <w:r>
        <w:rPr>
          <w:i/>
        </w:rPr>
        <w:t xml:space="preserve">Adv. hær.</w:t>
      </w:r>
      <w:r>
        <w:rPr/>
        <w:t xml:space="preserve">, III, </w:t>
      </w:r>
      <w:r>
        <w:rPr/>
        <w:t xml:space="preserve">i</w:t>
      </w:r>
      <w:r>
        <w:rPr/>
        <w:t xml:space="preserve">.</w:t>
      </w:r>
    </w:p>
  </w:footnote>
  <w:footnote w:id="22">
    <w:p>
      <w:pPr>
        <w:pStyle w:val="Notedebasdepage"/>
      </w:pPr>
      <w:r>
        <w:rPr>
          <w:rStyle w:val="Appelnotedebasdep"/>
        </w:rPr>
        <w:footnoteRef/>
        <w:t xml:space="preserve"> </w:t>
      </w:r>
      <w:r>
        <w:rPr/>
        <w:t xml:space="preserve">C’est-à-dire en dialecte sémitique.</w:t>
      </w:r>
    </w:p>
  </w:footnote>
  <w:footnote w:id="23">
    <w:p>
      <w:pPr>
        <w:pStyle w:val="Notedebasdepage"/>
      </w:pPr>
      <w:r>
        <w:rPr>
          <w:rStyle w:val="Appelnotedebasdep"/>
        </w:rPr>
        <w:footnoteRef/>
        <w:t xml:space="preserve"> </w:t>
      </w:r>
      <w:r>
        <w:rPr/>
        <w:t xml:space="preserve"> Luc, I, 1-2 ; Origène, </w:t>
      </w:r>
      <w:r>
        <w:rPr>
          <w:i/>
        </w:rPr>
        <w:t xml:space="preserve">Hom. in Luc</w:t>
      </w:r>
      <w:r>
        <w:rPr/>
        <w:t xml:space="preserve">., I, init. ; saint Jérôme, </w:t>
      </w:r>
      <w:r>
        <w:rPr>
          <w:i/>
        </w:rPr>
        <w:t xml:space="preserve">Comment. in Matth</w:t>
      </w:r>
      <w:r>
        <w:rPr/>
        <w:t xml:space="preserve">., prol.</w:t>
      </w:r>
    </w:p>
  </w:footnote>
  <w:footnote w:id="24">
    <w:p>
      <w:pPr>
        <w:pStyle w:val="Notedebasdepage"/>
      </w:pPr>
      <w:r>
        <w:rPr>
          <w:rStyle w:val="Appelnotedebasdep"/>
        </w:rPr>
        <w:footnoteRef/>
        <w:t xml:space="preserve"> </w:t>
      </w:r>
      <w:r>
        <w:rPr/>
        <w:t xml:space="preserve"> Papias, dans Eusèbe, </w:t>
      </w:r>
      <w:r>
        <w:rPr>
          <w:i/>
        </w:rPr>
        <w:t xml:space="preserve">H. E.</w:t>
      </w:r>
      <w:r>
        <w:rPr/>
        <w:t xml:space="preserve">, III, 39. Comparez Irénée, </w:t>
      </w:r>
      <w:r>
        <w:rPr>
          <w:i/>
        </w:rPr>
        <w:t xml:space="preserve">Adv. hær</w:t>
      </w:r>
      <w:r>
        <w:rPr/>
        <w:t xml:space="preserve">., III, II et III.</w:t>
      </w:r>
    </w:p>
  </w:footnote>
  <w:footnote w:id="25">
    <w:p>
      <w:pPr>
        <w:pStyle w:val="Notedebasdepage"/>
      </w:pPr>
      <w:r>
        <w:rPr>
          <w:rStyle w:val="Appelnotedebasdep"/>
        </w:rPr>
        <w:footnoteRef/>
        <w:t xml:space="preserve"> </w:t>
      </w:r>
      <w:r>
        <w:rPr/>
        <w:t xml:space="preserve"> C’est ainsi que le beau récit </w:t>
      </w:r>
      <w:r>
        <w:rPr>
          <w:i/>
        </w:rPr>
        <w:t xml:space="preserve">Jean</w:t>
      </w:r>
      <w:r>
        <w:rPr/>
        <w:t xml:space="preserve">, VIII, 1-11 a toujours flotté sans trouver sa place fixe dans le cadre des évangiles reçus.</w:t>
      </w:r>
    </w:p>
  </w:footnote>
  <w:footnote w:id="26">
    <w:p>
      <w:pPr>
        <w:pStyle w:val="Notedebasdepage"/>
      </w:pPr>
      <w:r>
        <w:rPr>
          <w:rStyle w:val="Appelnotedebasdep"/>
        </w:rPr>
        <w:footnoteRef/>
        <w:t xml:space="preserve"> </w:t>
      </w:r>
      <w:r>
        <w:rPr/>
        <w:t xml:space="preserve"> [Greek : Ta apomnêmoneumata tôn apostolôn, a kaleitai suangelia.] Justin, </w:t>
      </w:r>
      <w:r>
        <w:rPr>
          <w:i/>
        </w:rPr>
        <w:t xml:space="preserve">Apol</w:t>
      </w:r>
      <w:r>
        <w:rPr/>
        <w:t xml:space="preserve">., I, 33, 66, 67 ; </w:t>
      </w:r>
      <w:r>
        <w:rPr>
          <w:i/>
        </w:rPr>
        <w:t xml:space="preserve">Dial. cum Tryph</w:t>
      </w:r>
      <w:r>
        <w:rPr/>
        <w:t xml:space="preserve">., 10, 100, 101, 102, 103, 104, 105, 106, 107.</w:t>
      </w:r>
    </w:p>
  </w:footnote>
  <w:footnote w:id="27">
    <w:p>
      <w:pPr>
        <w:pStyle w:val="Notedebasdepage"/>
      </w:pPr>
      <w:r>
        <w:rPr>
          <w:rStyle w:val="Appelnotedebasdep"/>
        </w:rPr>
        <w:footnoteRef/>
        <w:t xml:space="preserve"> </w:t>
      </w:r>
      <w:r>
        <w:rPr/>
        <w:t xml:space="preserve"> Jules Africain, dans Eusèbe, </w:t>
      </w:r>
      <w:r>
        <w:rPr>
          <w:i/>
        </w:rPr>
        <w:t xml:space="preserve">Hist. eccl</w:t>
      </w:r>
      <w:r>
        <w:rPr/>
        <w:t xml:space="preserve">., I, 7.</w:t>
      </w:r>
    </w:p>
  </w:footnote>
  <w:footnote w:id="28">
    <w:p>
      <w:pPr>
        <w:pStyle w:val="Notedebasdepage"/>
      </w:pPr>
      <w:r>
        <w:rPr>
          <w:rStyle w:val="Appelnotedebasdep"/>
        </w:rPr>
        <w:footnoteRef/>
        <w:t xml:space="preserve"> </w:t>
      </w:r>
      <w:r>
        <w:rPr>
          <w:i/>
        </w:rPr>
        <w:t xml:space="preserve">Apol.</w:t>
      </w:r>
      <w:r>
        <w:rPr/>
        <w:t xml:space="preserve">, I, 32, 61 ; </w:t>
      </w:r>
      <w:r>
        <w:rPr>
          <w:i/>
        </w:rPr>
        <w:t xml:space="preserve">Dial. cum Tryph.</w:t>
      </w:r>
      <w:r>
        <w:rPr/>
        <w:t xml:space="preserve">, 88.</w:t>
      </w:r>
    </w:p>
  </w:footnote>
  <w:footnote w:id="29">
    <w:p>
      <w:pPr>
        <w:pStyle w:val="Notedebasdepage"/>
      </w:pPr>
      <w:r>
        <w:rPr>
          <w:rStyle w:val="Appelnotedebasdep"/>
        </w:rPr>
        <w:footnoteRef/>
        <w:t xml:space="preserve"> </w:t>
      </w:r>
      <w:r>
        <w:rPr/>
        <w:t xml:space="preserve">Legatio pro christ., 10.</w:t>
      </w:r>
    </w:p>
  </w:footnote>
  <w:footnote w:id="30">
    <w:p>
      <w:pPr>
        <w:pStyle w:val="Notedebasdepage"/>
      </w:pPr>
      <w:r>
        <w:rPr>
          <w:rStyle w:val="Appelnotedebasdep"/>
        </w:rPr>
        <w:footnoteRef/>
        <w:t xml:space="preserve"> </w:t>
      </w:r>
      <w:r>
        <w:rPr>
          <w:i/>
        </w:rPr>
        <w:t xml:space="preserve">Adv. Græc.</w:t>
      </w:r>
      <w:r>
        <w:rPr/>
        <w:t xml:space="preserve">, 5, 7. Cf. Eusèbe, </w:t>
      </w:r>
      <w:r>
        <w:rPr>
          <w:i/>
        </w:rPr>
        <w:t xml:space="preserve">H. E.</w:t>
      </w:r>
      <w:r>
        <w:rPr/>
        <w:t xml:space="preserve">, IV, 29 ; Théodoret, </w:t>
      </w:r>
      <w:r>
        <w:rPr>
          <w:i/>
        </w:rPr>
        <w:t xml:space="preserve">Hæretic. fabul.</w:t>
      </w:r>
      <w:r>
        <w:rPr/>
        <w:t xml:space="preserve">, I, 20.</w:t>
      </w:r>
    </w:p>
  </w:footnote>
  <w:footnote w:id="31">
    <w:p>
      <w:pPr>
        <w:pStyle w:val="Notedebasdepage"/>
      </w:pPr>
      <w:r>
        <w:rPr>
          <w:rStyle w:val="Appelnotedebasdep"/>
        </w:rPr>
        <w:footnoteRef/>
        <w:t xml:space="preserve"> </w:t>
      </w:r>
      <w:r>
        <w:rPr>
          <w:i/>
        </w:rPr>
        <w:t xml:space="preserve">Ad Autolycum</w:t>
      </w:r>
      <w:r>
        <w:rPr/>
        <w:t xml:space="preserve">, II, 22.</w:t>
      </w:r>
    </w:p>
  </w:footnote>
  <w:footnote w:id="32">
    <w:p>
      <w:pPr>
        <w:pStyle w:val="Notedebasdepage"/>
      </w:pPr>
      <w:r>
        <w:rPr>
          <w:rStyle w:val="Appelnotedebasdep"/>
        </w:rPr>
        <w:footnoteRef/>
        <w:t xml:space="preserve"> </w:t>
      </w:r>
      <w:r>
        <w:rPr>
          <w:i/>
        </w:rPr>
        <w:t xml:space="preserve">Adv. hær</w:t>
      </w:r>
      <w:r>
        <w:rPr/>
        <w:t xml:space="preserve">., II, </w:t>
      </w:r>
      <w:r>
        <w:rPr/>
        <w:t xml:space="preserve">xxii</w:t>
      </w:r>
      <w:r>
        <w:rPr/>
        <w:t xml:space="preserve">, 5 ; III, </w:t>
      </w:r>
      <w:r>
        <w:rPr/>
        <w:t xml:space="preserve">i</w:t>
      </w:r>
      <w:r>
        <w:rPr/>
        <w:t xml:space="preserve">. Cf. Eus., </w:t>
      </w:r>
      <w:r>
        <w:rPr>
          <w:i/>
        </w:rPr>
        <w:t xml:space="preserve">H. E.</w:t>
      </w:r>
      <w:r>
        <w:rPr/>
        <w:t xml:space="preserve">, V, 8.</w:t>
      </w:r>
    </w:p>
  </w:footnote>
  <w:footnote w:id="33">
    <w:p>
      <w:pPr>
        <w:pStyle w:val="Notedebasdepage"/>
      </w:pPr>
      <w:r>
        <w:rPr>
          <w:rStyle w:val="Appelnotedebasdep"/>
        </w:rPr>
        <w:footnoteRef/>
        <w:t xml:space="preserve"> </w:t>
      </w:r>
      <w:r>
        <w:rPr/>
        <w:t xml:space="preserve"> Irénée, </w:t>
      </w:r>
      <w:r>
        <w:rPr>
          <w:i/>
        </w:rPr>
        <w:t xml:space="preserve">Adv. hær</w:t>
      </w:r>
      <w:r>
        <w:rPr/>
        <w:t xml:space="preserve">., I, </w:t>
      </w:r>
      <w:r>
        <w:rPr/>
        <w:t xml:space="preserve">iii</w:t>
      </w:r>
      <w:r>
        <w:rPr/>
        <w:t xml:space="preserve">, 6 ; III, </w:t>
      </w:r>
      <w:r>
        <w:rPr/>
        <w:t xml:space="preserve">xi</w:t>
      </w:r>
      <w:r>
        <w:rPr/>
        <w:t xml:space="preserve">, 7 ; saint Hippolyte, </w:t>
      </w:r>
      <w:r>
        <w:rPr>
          <w:i/>
        </w:rPr>
        <w:t xml:space="preserve">Philosophumena</w:t>
      </w:r>
      <w:r>
        <w:rPr/>
        <w:t xml:space="preserve">, VI, </w:t>
      </w:r>
      <w:r>
        <w:rPr/>
        <w:t xml:space="preserve">ii</w:t>
      </w:r>
      <w:r>
        <w:rPr/>
        <w:t xml:space="preserve">, 29 et suiv.</w:t>
      </w:r>
    </w:p>
  </w:footnote>
  <w:footnote w:id="34">
    <w:p>
      <w:pPr>
        <w:pStyle w:val="Notedebasdepage"/>
      </w:pPr>
      <w:r>
        <w:rPr>
          <w:rStyle w:val="Appelnotedebasdep"/>
        </w:rPr>
        <w:footnoteRef/>
        <w:t xml:space="preserve"> </w:t>
      </w:r>
      <w:r>
        <w:rPr/>
        <w:t xml:space="preserve"> Irénée, </w:t>
      </w:r>
      <w:r>
        <w:rPr>
          <w:i/>
        </w:rPr>
        <w:t xml:space="preserve">Adv. hær.</w:t>
      </w:r>
      <w:r>
        <w:rPr/>
        <w:t xml:space="preserve">, III, </w:t>
      </w:r>
      <w:r>
        <w:rPr/>
        <w:t xml:space="preserve">xi</w:t>
      </w:r>
      <w:r>
        <w:rPr/>
        <w:t xml:space="preserve">, 9.</w:t>
      </w:r>
    </w:p>
  </w:footnote>
  <w:footnote w:id="35">
    <w:p>
      <w:pPr>
        <w:pStyle w:val="Notedebasdepage"/>
      </w:pPr>
      <w:r>
        <w:rPr>
          <w:rStyle w:val="Appelnotedebasdep"/>
        </w:rPr>
        <w:footnoteRef/>
        <w:t xml:space="preserve"> </w:t>
      </w:r>
      <w:r>
        <w:rPr/>
        <w:t xml:space="preserve"> Eusèbe, </w:t>
      </w:r>
      <w:r>
        <w:rPr>
          <w:i/>
        </w:rPr>
        <w:t xml:space="preserve">Hist. eccl.</w:t>
      </w:r>
      <w:r>
        <w:rPr/>
        <w:t xml:space="preserve">, V, 24.</w:t>
      </w:r>
    </w:p>
  </w:footnote>
  <w:footnote w:id="36">
    <w:p>
      <w:pPr>
        <w:pStyle w:val="Notedebasdepage"/>
      </w:pPr>
      <w:r>
        <w:rPr>
          <w:rStyle w:val="Appelnotedebasdep"/>
        </w:rPr>
        <w:footnoteRef/>
        <w:t xml:space="preserve"> </w:t>
      </w:r>
      <w:r>
        <w:rPr/>
        <w:t xml:space="preserve"> I Joann., </w:t>
      </w:r>
      <w:r>
        <w:rPr/>
        <w:t xml:space="preserve">i</w:t>
      </w:r>
      <w:r>
        <w:rPr/>
        <w:t xml:space="preserve">, 3, 5. Les deux écrits offrent la plus complète identité de style, les mêmes tours, les mêmes expressions favorites.</w:t>
      </w:r>
    </w:p>
  </w:footnote>
  <w:footnote w:id="37">
    <w:p>
      <w:pPr>
        <w:pStyle w:val="Notedebasdepage"/>
      </w:pPr>
      <w:r>
        <w:rPr>
          <w:rStyle w:val="Appelnotedebasdep"/>
        </w:rPr>
        <w:footnoteRef/>
        <w:t xml:space="preserve"> </w:t>
      </w:r>
      <w:r>
        <w:rPr/>
        <w:t xml:space="preserve">Epist. ad Philipp., 7.</w:t>
      </w:r>
    </w:p>
  </w:footnote>
  <w:footnote w:id="38">
    <w:p>
      <w:pPr>
        <w:pStyle w:val="Notedebasdepage"/>
      </w:pPr>
      <w:r>
        <w:rPr>
          <w:rStyle w:val="Appelnotedebasdep"/>
        </w:rPr>
        <w:footnoteRef/>
        <w:t xml:space="preserve"> </w:t>
      </w:r>
      <w:r>
        <w:rPr/>
        <w:t xml:space="preserve"> Dans Eusèbe, </w:t>
      </w:r>
      <w:r>
        <w:rPr>
          <w:i/>
        </w:rPr>
        <w:t xml:space="preserve">Hist. eccl.</w:t>
      </w:r>
      <w:r>
        <w:rPr/>
        <w:t xml:space="preserve">, III, 39.</w:t>
      </w:r>
    </w:p>
  </w:footnote>
  <w:footnote w:id="39">
    <w:p>
      <w:pPr>
        <w:pStyle w:val="Notedebasdepage"/>
      </w:pPr>
      <w:r>
        <w:rPr>
          <w:rStyle w:val="Appelnotedebasdep"/>
        </w:rPr>
        <w:footnoteRef/>
        <w:t xml:space="preserve"> </w:t>
      </w:r>
      <w:r>
        <w:rPr>
          <w:i/>
        </w:rPr>
        <w:t xml:space="preserve">Adv. hær.</w:t>
      </w:r>
      <w:r>
        <w:rPr/>
        <w:t xml:space="preserve">, III, </w:t>
      </w:r>
      <w:r>
        <w:rPr/>
        <w:t xml:space="preserve">xvi</w:t>
      </w:r>
      <w:r>
        <w:rPr/>
        <w:t xml:space="preserve">, 5, 8. Cf. Eusèbe, </w:t>
      </w:r>
      <w:r>
        <w:rPr>
          <w:i/>
        </w:rPr>
        <w:t xml:space="preserve">Hist. eccl.</w:t>
      </w:r>
      <w:r>
        <w:rPr/>
        <w:t xml:space="preserve">, V, 8.</w:t>
      </w:r>
    </w:p>
  </w:footnote>
  <w:footnote w:id="40">
    <w:p>
      <w:pPr>
        <w:pStyle w:val="Notedebasdepage"/>
      </w:pPr>
      <w:r>
        <w:rPr>
          <w:rStyle w:val="Appelnotedebasdep"/>
        </w:rPr>
        <w:footnoteRef/>
        <w:t xml:space="preserve"> </w:t>
      </w:r>
      <w:r>
        <w:rPr/>
        <w:t xml:space="preserve">XIII, 23 ; XIX, 26 ; XX, 2 ; XXI, 7, 20.</w:t>
      </w:r>
    </w:p>
  </w:footnote>
  <w:footnote w:id="41">
    <w:p>
      <w:pPr>
        <w:pStyle w:val="Notedebasdepage"/>
      </w:pPr>
      <w:r>
        <w:rPr>
          <w:rStyle w:val="Appelnotedebasdep"/>
        </w:rPr>
        <w:footnoteRef/>
        <w:t xml:space="preserve"> </w:t>
      </w:r>
      <w:r>
        <w:rPr/>
        <w:t xml:space="preserve">Jean, XVIII, 15-16 ; XX, 2-6 ; XXI, 15-19. Comp. I, 35, 40, 41.</w:t>
      </w:r>
    </w:p>
  </w:footnote>
  <w:footnote w:id="42">
    <w:p>
      <w:pPr>
        <w:pStyle w:val="Notedebasdepage"/>
      </w:pPr>
      <w:r>
        <w:rPr>
          <w:rStyle w:val="Appelnotedebasdep"/>
        </w:rPr>
        <w:footnoteRef/>
        <w:t xml:space="preserve"> </w:t>
      </w:r>
      <w:r>
        <w:rPr/>
        <w:t xml:space="preserve">VI, 63 ; XII, 6 ; XIII, 21 et suiv.</w:t>
      </w:r>
    </w:p>
  </w:footnote>
  <w:footnote w:id="43">
    <w:p>
      <w:pPr>
        <w:pStyle w:val="Notedebasdepage"/>
      </w:pPr>
      <w:r>
        <w:rPr>
          <w:rStyle w:val="Appelnotedebasdep"/>
        </w:rPr>
        <w:footnoteRef/>
        <w:t xml:space="preserve"> </w:t>
      </w:r>
      <w:r>
        <w:rPr/>
        <w:t xml:space="preserve"> La manière dont Aristion ou </w:t>
      </w:r>
      <w:r>
        <w:rPr>
          <w:i/>
        </w:rPr>
        <w:t xml:space="preserve">Presbyteros Joannes</w:t>
      </w:r>
      <w:r>
        <w:rPr/>
        <w:t xml:space="preserve"> s’exprimait sur l’évangile de Marc devant Papias (Eusèbe, </w:t>
      </w:r>
      <w:r>
        <w:rPr>
          <w:i/>
        </w:rPr>
        <w:t xml:space="preserve">H. E.</w:t>
      </w:r>
      <w:r>
        <w:rPr/>
        <w:t xml:space="preserve">., III, 39) implique, en effet, une critique bienveillante, ou, pour mieux dire, une sorte d’excuse, qui semble supposer que les disciples de Jean concevaient sur le même sujet quelque chose de mieux.</w:t>
      </w:r>
    </w:p>
  </w:footnote>
  <w:footnote w:id="44">
    <w:p>
      <w:pPr>
        <w:pStyle w:val="Notedebasdepage"/>
      </w:pPr>
      <w:r>
        <w:rPr>
          <w:rStyle w:val="Appelnotedebasdep"/>
        </w:rPr>
        <w:footnoteRef/>
        <w:t xml:space="preserve"> </w:t>
      </w:r>
      <w:r>
        <w:rPr/>
        <w:t xml:space="preserve">Comp. Jean, XVIII, 15 et suiv., à Matth., XXVI, 58 ; Jean, XX, 2-6, à Marc, XVI, 7. Voir aussi Jean, XIII, 24-25.</w:t>
      </w:r>
    </w:p>
  </w:footnote>
  <w:footnote w:id="45">
    <w:p>
      <w:pPr>
        <w:pStyle w:val="Notedebasdepage"/>
      </w:pPr>
      <w:r>
        <w:rPr>
          <w:rStyle w:val="Appelnotedebasdep"/>
        </w:rPr>
        <w:footnoteRef/>
        <w:t xml:space="preserve"> </w:t>
      </w:r>
      <w:r>
        <w:rPr/>
        <w:t xml:space="preserve">Voir ci-dessous, p. 159.</w:t>
      </w:r>
    </w:p>
  </w:footnote>
  <w:footnote w:id="46">
    <w:p>
      <w:pPr>
        <w:pStyle w:val="Notedebasdepage"/>
      </w:pPr>
      <w:r>
        <w:rPr>
          <w:rStyle w:val="Appelnotedebasdep"/>
        </w:rPr>
        <w:footnoteRef/>
        <w:t xml:space="preserve"> </w:t>
      </w:r>
      <w:r>
        <w:rPr/>
        <w:t xml:space="preserve">I, 14 ; XIX, 35 ; XXI, 24 et suiv. Comp. la première épître de saint Jean, I, 3, 5.</w:t>
      </w:r>
    </w:p>
  </w:footnote>
  <w:footnote w:id="47">
    <w:p>
      <w:pPr>
        <w:pStyle w:val="Notedebasdepage"/>
      </w:pPr>
      <w:r>
        <w:rPr>
          <w:rStyle w:val="Appelnotedebasdep"/>
        </w:rPr>
        <w:footnoteRef/>
        <w:t xml:space="preserve"> </w:t>
      </w:r>
      <w:r>
        <w:rPr/>
        <w:t xml:space="preserve"> Voir, par exemple, chap. IX et XI. Remarquer surtout l’effet étrange que font des passages comme </w:t>
      </w:r>
      <w:r>
        <w:rPr>
          <w:i/>
        </w:rPr>
        <w:t xml:space="preserve">Jean</w:t>
      </w:r>
      <w:r>
        <w:rPr/>
        <w:t xml:space="preserve">, XIX, 35 ; XX, 31 ; XXI, 20-23, 24-25, quand on se rappelle l’absence de toute réflexion qui distingue les synoptiques.</w:t>
      </w:r>
    </w:p>
  </w:footnote>
  <w:footnote w:id="48">
    <w:p>
      <w:pPr>
        <w:pStyle w:val="Notedebasdepage"/>
      </w:pPr>
      <w:r>
        <w:rPr>
          <w:rStyle w:val="Appelnotedebasdep"/>
        </w:rPr>
        <w:footnoteRef/>
        <w:t xml:space="preserve"> </w:t>
      </w:r>
      <w:r>
        <w:rPr/>
        <w:t xml:space="preserve">Par exemple, IV, 1 et suiv. ; XV, 12 et suiv. Plusieurs mots rappelés par Jean se retrouvent dans les synoptiques (XII, 16 ; XV, 20).</w:t>
      </w:r>
    </w:p>
  </w:footnote>
  <w:footnote w:id="49">
    <w:p>
      <w:pPr>
        <w:pStyle w:val="Notedebasdepage"/>
      </w:pPr>
      <w:r>
        <w:rPr>
          <w:rStyle w:val="Appelnotedebasdep"/>
        </w:rPr>
        <w:footnoteRef/>
        <w:t xml:space="preserve"> </w:t>
      </w:r>
      <w:r>
        <w:rPr/>
        <w:t xml:space="preserve">C’est ainsi que Napoléon devint un libéral dans les souvenirs de ses compagnons d’exil, quand ceux-ci, après leur retour, se trouvèrent jetés au milieu de la société politique du temps.</w:t>
      </w:r>
    </w:p>
  </w:footnote>
  <w:footnote w:id="50">
    <w:p>
      <w:pPr>
        <w:pStyle w:val="Notedebasdepage"/>
      </w:pPr>
      <w:r>
        <w:rPr>
          <w:rStyle w:val="Appelnotedebasdep"/>
        </w:rPr>
        <w:footnoteRef/>
        <w:t xml:space="preserve"> </w:t>
      </w:r>
      <w:r>
        <w:rPr/>
        <w:t xml:space="preserve">Les versets XX, 30-31, forment évidemment l’ancienne conclusion.</w:t>
      </w:r>
    </w:p>
  </w:footnote>
  <w:footnote w:id="51">
    <w:p>
      <w:pPr>
        <w:pStyle w:val="Notedebasdepage"/>
      </w:pPr>
      <w:r>
        <w:rPr>
          <w:rStyle w:val="Appelnotedebasdep"/>
        </w:rPr>
        <w:footnoteRef/>
        <w:t xml:space="preserve"> </w:t>
      </w:r>
      <w:r>
        <w:rPr/>
        <w:t xml:space="preserve">VI, 2, 22 ; VI, 22.</w:t>
      </w:r>
    </w:p>
  </w:footnote>
  <w:footnote w:id="52">
    <w:p>
      <w:pPr>
        <w:pStyle w:val="Notedebasdepage"/>
      </w:pPr>
      <w:r>
        <w:rPr>
          <w:rStyle w:val="Appelnotedebasdep"/>
        </w:rPr>
        <w:footnoteRef/>
        <w:t xml:space="preserve"> </w:t>
      </w:r>
      <w:r>
        <w:rPr/>
        <w:t xml:space="preserve">Par exemple, ce qui concerne l’annonce de la trahison de Judas.</w:t>
      </w:r>
    </w:p>
  </w:footnote>
  <w:footnote w:id="53">
    <w:p>
      <w:pPr>
        <w:pStyle w:val="Notedebasdepage"/>
      </w:pPr>
      <w:r>
        <w:rPr>
          <w:rStyle w:val="Appelnotedebasdep"/>
        </w:rPr>
        <w:footnoteRef/>
        <w:t xml:space="preserve"> </w:t>
      </w:r>
      <w:r>
        <w:rPr/>
        <w:t xml:space="preserve">Voir, par exemple, II, 25 ; III, 32-33, et les longues disputes des ch. VII, VIII, IX.</w:t>
      </w:r>
    </w:p>
  </w:footnote>
  <w:footnote w:id="54">
    <w:p>
      <w:pPr>
        <w:pStyle w:val="Notedebasdepage"/>
      </w:pPr>
      <w:r>
        <w:rPr>
          <w:rStyle w:val="Appelnotedebasdep"/>
        </w:rPr>
        <w:footnoteRef/>
        <w:t xml:space="preserve"> </w:t>
      </w:r>
      <w:r>
        <w:rPr/>
        <w:t xml:space="preserve">Souvent on sent que l’auteur cherche des prétextes pour placer des discours (ch. III, V, VIII, XIII et suiv.).</w:t>
      </w:r>
    </w:p>
  </w:footnote>
  <w:footnote w:id="55">
    <w:p>
      <w:pPr>
        <w:pStyle w:val="Notedebasdepage"/>
      </w:pPr>
      <w:r>
        <w:rPr>
          <w:rStyle w:val="Appelnotedebasdep"/>
        </w:rPr>
        <w:footnoteRef/>
        <w:t xml:space="preserve"> </w:t>
      </w:r>
      <w:r>
        <w:rPr/>
        <w:t xml:space="preserve">Par exemple, chap. XVII.</w:t>
      </w:r>
    </w:p>
  </w:footnote>
  <w:footnote w:id="56">
    <w:p>
      <w:pPr>
        <w:pStyle w:val="Notedebasdepage"/>
      </w:pPr>
      <w:r>
        <w:rPr>
          <w:rStyle w:val="Appelnotedebasdep"/>
        </w:rPr>
        <w:footnoteRef/>
        <w:t xml:space="preserve"> </w:t>
      </w:r>
      <w:r>
        <w:rPr/>
        <w:t xml:space="preserve">Outre les synoptiques, les Actes, les Épîtres de saint Paul, l’Apocalypse en font foi.</w:t>
      </w:r>
    </w:p>
  </w:footnote>
  <w:footnote w:id="57">
    <w:p>
      <w:pPr>
        <w:pStyle w:val="Notedebasdepage"/>
      </w:pPr>
      <w:r>
        <w:rPr>
          <w:rStyle w:val="Appelnotedebasdep"/>
        </w:rPr>
        <w:footnoteRef/>
        <w:t xml:space="preserve"> </w:t>
      </w:r>
      <w:r>
        <w:rPr/>
        <w:t xml:space="preserve">Jean, III, 3, 5.</w:t>
      </w:r>
    </w:p>
  </w:footnote>
  <w:footnote w:id="58">
    <w:p>
      <w:pPr>
        <w:pStyle w:val="Notedebasdepage"/>
      </w:pPr>
      <w:r>
        <w:rPr>
          <w:rStyle w:val="Appelnotedebasdep"/>
        </w:rPr>
        <w:footnoteRef/>
        <w:t xml:space="preserve"> </w:t>
      </w:r>
      <w:r>
        <w:rPr/>
        <w:t xml:space="preserve"> Papias, </w:t>
      </w:r>
      <w:r>
        <w:rPr>
          <w:i/>
        </w:rPr>
        <w:t xml:space="preserve">loc. cit.</w:t>
      </w:r>
    </w:p>
  </w:footnote>
  <w:footnote w:id="59">
    <w:p>
      <w:pPr>
        <w:pStyle w:val="Notedebasdepage"/>
      </w:pPr>
      <w:r>
        <w:rPr>
          <w:rStyle w:val="Appelnotedebasdep"/>
        </w:rPr>
        <w:footnoteRef/>
        <w:t xml:space="preserve"> </w:t>
      </w:r>
      <w:r>
        <w:rPr/>
        <w:t xml:space="preserve">Ainsi, le pardon de la femme pécheresse, la connaissance qu’a Luc de la famille de Béthanie, son type du caractère de Marthe répondant au [Greek : diêchonei] de Jean (XII, 2), le trait de la femme qui essuya les pieds de Jésus avec ses cheveux, une notion obscure des voyages de Jésus à Jérusalem, l’idée qu’il a comparu à la Passion devant trois autorités, l’opinion où est l’auteur que quelques disciples assistaient au crucifiement, la connaissance qu’il a du rôle d’Anne à côté de Caïphe, l’apparition de l’ange dans l’agonie (comp. Jean, XII, 28-29).</w:t>
      </w:r>
    </w:p>
  </w:footnote>
  <w:footnote w:id="60">
    <w:p>
      <w:pPr>
        <w:pStyle w:val="Notedebasdepage"/>
      </w:pPr>
      <w:r>
        <w:rPr>
          <w:rStyle w:val="Appelnotedebasdep"/>
        </w:rPr>
        <w:footnoteRef/>
        <w:t xml:space="preserve"> </w:t>
      </w:r>
      <w:r>
        <w:rPr/>
        <w:t xml:space="preserve">Ch. I et II surtout. Voir aussi XXVII, 3 et suiv. ; 19, 60, en comparant Marc.</w:t>
      </w:r>
    </w:p>
  </w:footnote>
  <w:footnote w:id="61">
    <w:p>
      <w:pPr>
        <w:pStyle w:val="Notedebasdepage"/>
      </w:pPr>
      <w:r>
        <w:rPr>
          <w:rStyle w:val="Appelnotedebasdep"/>
        </w:rPr>
        <w:footnoteRef/>
        <w:t xml:space="preserve"> </w:t>
      </w:r>
      <w:r>
        <w:rPr/>
        <w:t xml:space="preserve">V, 41 ; VII, 34 ; XV, 34. Matthieu n’offre cette particularité qu’une fois (XXVII, 46).</w:t>
      </w:r>
    </w:p>
  </w:footnote>
  <w:footnote w:id="62">
    <w:p>
      <w:pPr>
        <w:pStyle w:val="Notedebasdepage"/>
      </w:pPr>
      <w:r>
        <w:rPr>
          <w:rStyle w:val="Appelnotedebasdep"/>
        </w:rPr>
        <w:footnoteRef/>
        <w:t xml:space="preserve"> </w:t>
      </w:r>
      <w:r>
        <w:rPr/>
        <w:t xml:space="preserve">XIV, 26. Les règles de l’apostolat (ch. X) y ont un caractère particulier d’exaltation.</w:t>
      </w:r>
    </w:p>
  </w:footnote>
  <w:footnote w:id="63">
    <w:p>
      <w:pPr>
        <w:pStyle w:val="Notedebasdepage"/>
      </w:pPr>
      <w:r>
        <w:rPr>
          <w:rStyle w:val="Appelnotedebasdep"/>
        </w:rPr>
        <w:footnoteRef/>
        <w:t xml:space="preserve"> </w:t>
      </w:r>
      <w:r>
        <w:rPr/>
        <w:t xml:space="preserve">XIX, 41, 43-44 ; XXI, 9, 20 ; XXIII, 29.</w:t>
      </w:r>
    </w:p>
  </w:footnote>
  <w:footnote w:id="64">
    <w:p>
      <w:pPr>
        <w:pStyle w:val="Notedebasdepage"/>
      </w:pPr>
      <w:r>
        <w:rPr>
          <w:rStyle w:val="Appelnotedebasdep"/>
        </w:rPr>
        <w:footnoteRef/>
        <w:t xml:space="preserve"> </w:t>
      </w:r>
      <w:r>
        <w:rPr/>
        <w:t xml:space="preserve">II, 37 ; XVIII, 10 et suiv. ; XXIV, 53.</w:t>
      </w:r>
    </w:p>
  </w:footnote>
  <w:footnote w:id="65">
    <w:p>
      <w:pPr>
        <w:pStyle w:val="Notedebasdepage"/>
      </w:pPr>
      <w:r>
        <w:rPr>
          <w:rStyle w:val="Appelnotedebasdep"/>
        </w:rPr>
        <w:footnoteRef/>
        <w:t xml:space="preserve"> </w:t>
      </w:r>
      <w:r>
        <w:rPr/>
        <w:t xml:space="preserve">Par exemple, IV, 16.</w:t>
      </w:r>
    </w:p>
  </w:footnote>
  <w:footnote w:id="66">
    <w:p>
      <w:pPr>
        <w:pStyle w:val="Notedebasdepage"/>
      </w:pPr>
      <w:r>
        <w:rPr>
          <w:rStyle w:val="Appelnotedebasdep"/>
        </w:rPr>
        <w:footnoteRef/>
        <w:t xml:space="preserve"> </w:t>
      </w:r>
      <w:r>
        <w:rPr/>
        <w:t xml:space="preserve">III, 23. Il omet Matth., XXIV, 36.</w:t>
      </w:r>
    </w:p>
  </w:footnote>
  <w:footnote w:id="67">
    <w:p>
      <w:pPr>
        <w:pStyle w:val="Notedebasdepage"/>
      </w:pPr>
      <w:r>
        <w:rPr>
          <w:rStyle w:val="Appelnotedebasdep"/>
        </w:rPr>
        <w:footnoteRef/>
        <w:t xml:space="preserve"> </w:t>
      </w:r>
      <w:r>
        <w:rPr/>
        <w:t xml:space="preserve">IV, 14 ; XXII, 43, 44.</w:t>
      </w:r>
    </w:p>
  </w:footnote>
  <w:footnote w:id="68">
    <w:p>
      <w:pPr>
        <w:pStyle w:val="Notedebasdepage"/>
      </w:pPr>
      <w:r>
        <w:rPr>
          <w:rStyle w:val="Appelnotedebasdep"/>
        </w:rPr>
        <w:footnoteRef/>
        <w:t xml:space="preserve"> </w:t>
      </w:r>
      <w:r>
        <w:rPr/>
        <w:t xml:space="preserve">Par exemple, en ce qui concerne Quirinius, Lysanias, Theudas.</w:t>
      </w:r>
    </w:p>
  </w:footnote>
  <w:footnote w:id="69">
    <w:p>
      <w:pPr>
        <w:pStyle w:val="Notedebasdepage"/>
      </w:pPr>
      <w:r>
        <w:rPr>
          <w:rStyle w:val="Appelnotedebasdep"/>
        </w:rPr>
        <w:footnoteRef/>
        <w:t xml:space="preserve"> </w:t>
      </w:r>
      <w:r>
        <w:rPr/>
        <w:t xml:space="preserve">Comp. Luc, I, 31, à Matth., I, 21.</w:t>
      </w:r>
    </w:p>
  </w:footnote>
  <w:footnote w:id="70">
    <w:p>
      <w:pPr>
        <w:pStyle w:val="Notedebasdepage"/>
      </w:pPr>
      <w:r>
        <w:rPr>
          <w:rStyle w:val="Appelnotedebasdep"/>
        </w:rPr>
        <w:footnoteRef/>
        <w:t xml:space="preserve"> </w:t>
      </w:r>
      <w:r>
        <w:rPr/>
        <w:t xml:space="preserve">Par exemple, XIX, 12-27.</w:t>
      </w:r>
    </w:p>
  </w:footnote>
  <w:footnote w:id="71">
    <w:p>
      <w:pPr>
        <w:pStyle w:val="Notedebasdepage"/>
      </w:pPr>
      <w:r>
        <w:rPr>
          <w:rStyle w:val="Appelnotedebasdep"/>
        </w:rPr>
        <w:footnoteRef/>
        <w:t xml:space="preserve"> </w:t>
      </w:r>
      <w:r>
        <w:rPr/>
        <w:t xml:space="preserve">Ainsi, le repas de Béthanie lui donne deux récits (VII, 36-48, et X, 38-42.)</w:t>
      </w:r>
    </w:p>
  </w:footnote>
  <w:footnote w:id="72">
    <w:p>
      <w:pPr>
        <w:pStyle w:val="Notedebasdepage"/>
      </w:pPr>
      <w:r>
        <w:rPr>
          <w:rStyle w:val="Appelnotedebasdep"/>
        </w:rPr>
        <w:footnoteRef/>
        <w:t xml:space="preserve"> </w:t>
      </w:r>
      <w:r>
        <w:rPr/>
        <w:t xml:space="preserve">XXIII, 56.</w:t>
      </w:r>
    </w:p>
  </w:footnote>
  <w:footnote w:id="73">
    <w:p>
      <w:pPr>
        <w:pStyle w:val="Notedebasdepage"/>
      </w:pPr>
      <w:r>
        <w:rPr>
          <w:rStyle w:val="Appelnotedebasdep"/>
        </w:rPr>
        <w:footnoteRef/>
        <w:t xml:space="preserve"> </w:t>
      </w:r>
      <w:r>
        <w:rPr/>
        <w:t xml:space="preserve"> II, 21, 22, 39, 41, 42. C’est un trait ébionite. Cf. </w:t>
      </w:r>
      <w:r>
        <w:rPr>
          <w:i/>
        </w:rPr>
        <w:t xml:space="preserve">Philosophumena</w:t>
      </w:r>
      <w:r>
        <w:rPr/>
        <w:t xml:space="preserve">, VII, VI, 34.</w:t>
      </w:r>
    </w:p>
  </w:footnote>
  <w:footnote w:id="74">
    <w:p>
      <w:pPr>
        <w:pStyle w:val="Notedebasdepage"/>
      </w:pPr>
      <w:r>
        <w:rPr>
          <w:rStyle w:val="Appelnotedebasdep"/>
        </w:rPr>
        <w:footnoteRef/>
        <w:t xml:space="preserve"> </w:t>
      </w:r>
      <w:r>
        <w:rPr/>
        <w:t xml:space="preserve"> La parabole du riche et de Lazare. Comp. VI, 20 et suiv. ; 24 et suiv. ; XII, 13 et suiv. ; XVI entier ; XXII, 35 ; </w:t>
      </w:r>
      <w:r>
        <w:rPr>
          <w:i/>
        </w:rPr>
        <w:t xml:space="preserve">Actes</w:t>
      </w:r>
      <w:r>
        <w:rPr/>
        <w:t xml:space="preserve">, II, 44-45 ; V, 1 et suiv.</w:t>
      </w:r>
    </w:p>
  </w:footnote>
  <w:footnote w:id="75">
    <w:p>
      <w:pPr>
        <w:pStyle w:val="Notedebasdepage"/>
      </w:pPr>
      <w:r>
        <w:rPr>
          <w:rStyle w:val="Appelnotedebasdep"/>
        </w:rPr>
        <w:footnoteRef/>
        <w:t xml:space="preserve"> </w:t>
      </w:r>
      <w:r>
        <w:rPr/>
        <w:t xml:space="preserve">La femme qui oint les pieds, Zachée, le bon larron, la parabole du pharisien et du publicain, l’enfant prodigue.</w:t>
      </w:r>
    </w:p>
  </w:footnote>
  <w:footnote w:id="76">
    <w:p>
      <w:pPr>
        <w:pStyle w:val="Notedebasdepage"/>
      </w:pPr>
      <w:r>
        <w:rPr>
          <w:rStyle w:val="Appelnotedebasdep"/>
        </w:rPr>
        <w:footnoteRef/>
        <w:t xml:space="preserve"> </w:t>
      </w:r>
      <w:r>
        <w:rPr/>
        <w:t xml:space="preserve">Par exemple, Marie de Béthanie devient pour lui une pécheresse qui se convertit.</w:t>
      </w:r>
    </w:p>
  </w:footnote>
  <w:footnote w:id="77">
    <w:p>
      <w:pPr>
        <w:pStyle w:val="Notedebasdepage"/>
      </w:pPr>
      <w:r>
        <w:rPr>
          <w:rStyle w:val="Appelnotedebasdep"/>
        </w:rPr>
        <w:footnoteRef/>
        <w:t xml:space="preserve"> </w:t>
      </w:r>
      <w:r>
        <w:rPr/>
        <w:t xml:space="preserve">Jésus pleurant sur Jérusalem, la sueur de sang, la rencontre des saintes femmes, le bon larron, etc. Le mot aux femmes de Jérusalem (XXIII, 28-29) ne peut guère avoir été conçu qu’après le siège de l’an 70.</w:t>
      </w:r>
    </w:p>
  </w:footnote>
  <w:footnote w:id="78">
    <w:p>
      <w:pPr>
        <w:pStyle w:val="Notedebasdepage"/>
      </w:pPr>
      <w:r>
        <w:rPr>
          <w:rStyle w:val="Appelnotedebasdep"/>
        </w:rPr>
        <w:footnoteRef/>
        <w:t xml:space="preserve"> </w:t>
      </w:r>
      <w:r>
        <w:rPr/>
        <w:t xml:space="preserve">Voir le passage précité de Papias.</w:t>
      </w:r>
    </w:p>
  </w:footnote>
  <w:footnote w:id="79">
    <w:p>
      <w:pPr>
        <w:pStyle w:val="Notedebasdepage"/>
      </w:pPr>
      <w:r>
        <w:rPr>
          <w:rStyle w:val="Appelnotedebasdep"/>
        </w:rPr>
        <w:footnoteRef/>
        <w:t xml:space="preserve"> </w:t>
      </w:r>
      <w:r>
        <w:rPr/>
        <w:t xml:space="preserve">Voir, par exemple, Jean, XIX, 23-24.</w:t>
      </w:r>
    </w:p>
  </w:footnote>
  <w:footnote w:id="80">
    <w:p>
      <w:pPr>
        <w:pStyle w:val="Notedebasdepage"/>
      </w:pPr>
      <w:r>
        <w:rPr>
          <w:rStyle w:val="Appelnotedebasdep"/>
        </w:rPr>
        <w:footnoteRef/>
        <w:t xml:space="preserve"> </w:t>
      </w:r>
      <w:r>
        <w:rPr/>
        <w:t xml:space="preserve"> Voir la </w:t>
      </w:r>
      <w:r>
        <w:rPr>
          <w:i/>
        </w:rPr>
        <w:t xml:space="preserve">Gazette des Tribunaux</w:t>
      </w:r>
      <w:r>
        <w:rPr/>
        <w:t xml:space="preserve">, 10 sept. et 11 nov. 1851, 28 mai 1857.</w:t>
      </w:r>
    </w:p>
  </w:footnote>
  <w:footnote w:id="81">
    <w:p>
      <w:pPr>
        <w:pStyle w:val="Notedebasdepage"/>
      </w:pPr>
      <w:r>
        <w:rPr>
          <w:rStyle w:val="Appelnotedebasdep"/>
        </w:rPr>
        <w:footnoteRef/>
        <w:t xml:space="preserve"> </w:t>
      </w:r>
      <w:r>
        <w:rPr/>
        <w:t xml:space="preserve">Le livre où seront contenus les résultats de cette mission est sous presse.</w:t>
      </w:r>
    </w:p>
  </w:footnote>
  <w:footnote w:id="82">
    <w:p>
      <w:pPr>
        <w:pStyle w:val="Notedebasdepage"/>
      </w:pPr>
      <w:r>
        <w:rPr>
          <w:rStyle w:val="Appelnotedebasdep"/>
        </w:rPr>
        <w:footnoteRef/>
        <w:t xml:space="preserve"> </w:t>
      </w:r>
      <w:r>
        <w:rPr/>
        <w:t xml:space="preserve">Loc. cit.</w:t>
      </w:r>
    </w:p>
  </w:footnote>
  <w:footnote w:id="83">
    <w:p>
      <w:pPr>
        <w:pStyle w:val="Notedebasdepage"/>
      </w:pPr>
      <w:r>
        <w:rPr>
          <w:rStyle w:val="Appelnotedebasdep"/>
        </w:rPr>
        <w:footnoteRef/>
        <w:t xml:space="preserve"> </w:t>
      </w:r>
      <w:r>
        <w:rPr/>
        <w:t xml:space="preserve">Je rappelle que ce mot désigne simplement ici les peuples qui parlent ou ont parlé une des langues qu’on appelle sémitiques. Une telle désignation est tout à fait défectueuse ; mais c’est un de ces mots, comme « architecture gothique », « chiffres arabes », qu’il faut conserver pour s’entendre, même après qu’on a démontré l’erreur qu’ils impliquent.</w:t>
      </w:r>
    </w:p>
  </w:footnote>
  <w:footnote w:id="84">
    <w:p>
      <w:pPr>
        <w:pStyle w:val="Notedebasdepage"/>
      </w:pPr>
      <w:r>
        <w:rPr>
          <w:rStyle w:val="Appelnotedebasdep"/>
        </w:rPr>
        <w:footnoteRef/>
        <w:t xml:space="preserve"> </w:t>
      </w:r>
      <w:r>
        <w:rPr/>
        <w:t xml:space="preserve">I Sam., X, 25.</w:t>
      </w:r>
    </w:p>
  </w:footnote>
  <w:footnote w:id="85">
    <w:p>
      <w:pPr>
        <w:pStyle w:val="Notedebasdepage"/>
      </w:pPr>
      <w:r>
        <w:rPr>
          <w:rStyle w:val="Appelnotedebasdep"/>
        </w:rPr>
        <w:footnoteRef/>
        <w:t xml:space="preserve"> </w:t>
      </w:r>
      <w:r>
        <w:rPr/>
        <w:t xml:space="preserve">Isaïe, II, 1-4, et surtout les chapitres XL et suiv., LX et suiv. ; Michée, IV, 4 et suiv. Il faut se rappeler que la seconde partie du livre d’Isaïe, à partir du chapitre XL, n’est pas d’Isaïe.</w:t>
      </w:r>
    </w:p>
  </w:footnote>
  <w:footnote w:id="86">
    <w:p>
      <w:pPr>
        <w:pStyle w:val="Notedebasdepage"/>
      </w:pPr>
      <w:r>
        <w:rPr>
          <w:rStyle w:val="Appelnotedebasdep"/>
        </w:rPr>
        <w:footnoteRef/>
        <w:t xml:space="preserve"> </w:t>
      </w:r>
      <w:r>
        <w:rPr/>
        <w:t xml:space="preserve">Is., LII, 13 et suiv., et LIII entier.</w:t>
      </w:r>
    </w:p>
  </w:footnote>
  <w:footnote w:id="87">
    <w:p>
      <w:pPr>
        <w:pStyle w:val="Notedebasdepage"/>
      </w:pPr>
      <w:r>
        <w:rPr>
          <w:rStyle w:val="Appelnotedebasdep"/>
        </w:rPr>
        <w:footnoteRef/>
        <w:t xml:space="preserve"> </w:t>
      </w:r>
      <w:r>
        <w:rPr/>
        <w:t xml:space="preserve">Ruth, i, 16.</w:t>
      </w:r>
    </w:p>
  </w:footnote>
  <w:footnote w:id="88">
    <w:p>
      <w:pPr>
        <w:pStyle w:val="Notedebasdepage"/>
      </w:pPr>
      <w:r>
        <w:rPr>
          <w:rStyle w:val="Appelnotedebasdep"/>
        </w:rPr>
        <w:footnoteRef/>
        <w:t xml:space="preserve"> </w:t>
      </w:r>
      <w:r>
        <w:rPr/>
        <w:t xml:space="preserve">Esther, IX, 27.</w:t>
      </w:r>
    </w:p>
  </w:footnote>
  <w:footnote w:id="89">
    <w:p>
      <w:pPr>
        <w:pStyle w:val="Notedebasdepage"/>
      </w:pPr>
      <w:r>
        <w:rPr>
          <w:rStyle w:val="Appelnotedebasdep"/>
        </w:rPr>
        <w:footnoteRef/>
        <w:t xml:space="preserve"> </w:t>
      </w:r>
      <w:r>
        <w:rPr/>
        <w:t xml:space="preserve"> Matth., XXIII, 15 ; Josèphe, </w:t>
      </w:r>
      <w:r>
        <w:rPr>
          <w:i/>
        </w:rPr>
        <w:t xml:space="preserve">Vita</w:t>
      </w:r>
      <w:r>
        <w:rPr/>
        <w:t xml:space="preserve">, 23 ; </w:t>
      </w:r>
      <w:r>
        <w:rPr>
          <w:i/>
        </w:rPr>
        <w:t xml:space="preserve">B. J</w:t>
      </w:r>
      <w:r>
        <w:rPr/>
        <w:t xml:space="preserve">., II, </w:t>
      </w:r>
      <w:r>
        <w:rPr/>
        <w:t xml:space="preserve">xvii</w:t>
      </w:r>
      <w:r>
        <w:rPr/>
        <w:t xml:space="preserve">, 10 ; VII, </w:t>
      </w:r>
      <w:r>
        <w:rPr/>
        <w:t xml:space="preserve">iii</w:t>
      </w:r>
      <w:r>
        <w:rPr/>
        <w:t xml:space="preserve">, 3 ; </w:t>
      </w:r>
      <w:r>
        <w:rPr>
          <w:i/>
        </w:rPr>
        <w:t xml:space="preserve">Ant</w:t>
      </w:r>
      <w:r>
        <w:rPr/>
        <w:t xml:space="preserve">., XX, II, 4 ; Horat., Sat. I, </w:t>
      </w:r>
      <w:r>
        <w:rPr/>
        <w:t xml:space="preserve">iv</w:t>
      </w:r>
      <w:r>
        <w:rPr/>
        <w:t xml:space="preserve">, 143 ; Juv., XIV, 96 et suiv. ; Tacite, </w:t>
      </w:r>
      <w:r>
        <w:rPr>
          <w:i/>
        </w:rPr>
        <w:t xml:space="preserve">Ann</w:t>
      </w:r>
      <w:r>
        <w:rPr/>
        <w:t xml:space="preserve">., II, 85 ; </w:t>
      </w:r>
      <w:r>
        <w:rPr>
          <w:i/>
        </w:rPr>
        <w:t xml:space="preserve">Hist.</w:t>
      </w:r>
      <w:r>
        <w:rPr/>
        <w:t xml:space="preserve">, V, 5 ; Dion Cassius, XXXVII, 17.</w:t>
      </w:r>
    </w:p>
  </w:footnote>
  <w:footnote w:id="90">
    <w:p>
      <w:pPr>
        <w:pStyle w:val="Notedebasdepage"/>
      </w:pPr>
      <w:r>
        <w:rPr>
          <w:rStyle w:val="Appelnotedebasdep"/>
        </w:rPr>
        <w:footnoteRef/>
        <w:t xml:space="preserve"> </w:t>
      </w:r>
      <w:r>
        <w:rPr/>
        <w:t xml:space="preserve"> Mischna, </w:t>
      </w:r>
      <w:r>
        <w:rPr>
          <w:i/>
        </w:rPr>
        <w:t xml:space="preserve">Schebiit</w:t>
      </w:r>
      <w:r>
        <w:rPr/>
        <w:t xml:space="preserve">, X, 9 ; Talmud de Babylone, </w:t>
      </w:r>
      <w:r>
        <w:rPr>
          <w:i/>
        </w:rPr>
        <w:t xml:space="preserve">Niddah</w:t>
      </w:r>
      <w:r>
        <w:rPr/>
        <w:t xml:space="preserve">, fol. 13 </w:t>
      </w:r>
      <w:r>
        <w:rPr>
          <w:i/>
        </w:rPr>
        <w:t xml:space="preserve">b, Jebamoth</w:t>
      </w:r>
      <w:r>
        <w:rPr/>
        <w:t xml:space="preserve">, 47 </w:t>
      </w:r>
      <w:r>
        <w:rPr>
          <w:i/>
        </w:rPr>
        <w:t xml:space="preserve">b ; Kidduschin</w:t>
      </w:r>
      <w:r>
        <w:rPr/>
        <w:t xml:space="preserve">, 70 </w:t>
      </w:r>
      <w:r>
        <w:rPr>
          <w:i/>
        </w:rPr>
        <w:t xml:space="preserve">b</w:t>
      </w:r>
      <w:r>
        <w:rPr/>
        <w:t xml:space="preserve"> ; Midrasch, </w:t>
      </w:r>
      <w:r>
        <w:rPr>
          <w:i/>
        </w:rPr>
        <w:t xml:space="preserve">Jalkut Ruth</w:t>
      </w:r>
      <w:r>
        <w:rPr/>
        <w:t xml:space="preserve">, fol. 163 </w:t>
      </w:r>
      <w:r>
        <w:rPr>
          <w:i/>
        </w:rPr>
        <w:t xml:space="preserve">d</w:t>
      </w:r>
      <w:r>
        <w:rPr/>
        <w:t xml:space="preserve">.</w:t>
      </w:r>
    </w:p>
  </w:footnote>
  <w:footnote w:id="91">
    <w:p>
      <w:pPr>
        <w:pStyle w:val="Notedebasdepage"/>
      </w:pPr>
      <w:r>
        <w:rPr>
          <w:rStyle w:val="Appelnotedebasdep"/>
        </w:rPr>
        <w:footnoteRef/>
        <w:t xml:space="preserve"> </w:t>
      </w:r>
      <w:r>
        <w:rPr/>
        <w:t xml:space="preserve"> Lettre apocryphe de Baruch, dans Fabricius, </w:t>
      </w:r>
      <w:r>
        <w:rPr>
          <w:i/>
        </w:rPr>
        <w:t xml:space="preserve">Cad. pseud. V.T.</w:t>
      </w:r>
      <w:r>
        <w:rPr/>
        <w:t xml:space="preserve"> II, 147 et suiv.</w:t>
      </w:r>
    </w:p>
  </w:footnote>
  <w:footnote w:id="92">
    <w:p>
      <w:pPr>
        <w:pStyle w:val="Notedebasdepage"/>
      </w:pPr>
      <w:r>
        <w:rPr>
          <w:rStyle w:val="Appelnotedebasdep"/>
        </w:rPr>
        <w:footnoteRef/>
        <w:t xml:space="preserve"> </w:t>
      </w:r>
      <w:r>
        <w:rPr/>
        <w:t xml:space="preserve"> II</w:t>
      </w:r>
      <w:r>
        <w:rPr>
          <w:vertAlign w:val="superscript"/>
        </w:rPr>
        <w:t>e</w:t>
      </w:r>
      <w:r>
        <w:rPr/>
        <w:t xml:space="preserve"> livre des Macchabées, ch. VII, et le </w:t>
      </w:r>
      <w:r>
        <w:rPr>
          <w:i/>
        </w:rPr>
        <w:t xml:space="preserve">De Maccabœis</w:t>
      </w:r>
      <w:r>
        <w:rPr/>
        <w:t xml:space="preserve">, attribué à Josèphe. Cf. Epître aux Hébreux, </w:t>
      </w:r>
      <w:r>
        <w:rPr/>
        <w:t xml:space="preserve">xi</w:t>
      </w:r>
      <w:r>
        <w:rPr/>
        <w:t xml:space="preserve">, 33 et suiv.</w:t>
      </w:r>
    </w:p>
  </w:footnote>
  <w:footnote w:id="93">
    <w:p>
      <w:pPr>
        <w:pStyle w:val="Notedebasdepage"/>
      </w:pPr>
      <w:r>
        <w:rPr>
          <w:rStyle w:val="Appelnotedebasdep"/>
        </w:rPr>
        <w:footnoteRef/>
        <w:t xml:space="preserve"> </w:t>
      </w:r>
      <w:r>
        <w:rPr/>
        <w:t xml:space="preserve"> III livre (apocr.) des Macchabées ; Rufinn, Suppl. ad Jos., </w:t>
      </w:r>
      <w:r>
        <w:rPr>
          <w:i/>
        </w:rPr>
        <w:t xml:space="preserve">Contra Apionem</w:t>
      </w:r>
      <w:r>
        <w:rPr/>
        <w:t xml:space="preserve">, II, 5.</w:t>
      </w:r>
    </w:p>
  </w:footnote>
  <w:footnote w:id="94">
    <w:p>
      <w:pPr>
        <w:pStyle w:val="Notedebasdepage"/>
      </w:pPr>
      <w:r>
        <w:rPr>
          <w:rStyle w:val="Appelnotedebasdep"/>
        </w:rPr>
        <w:footnoteRef/>
        <w:t xml:space="preserve"> </w:t>
      </w:r>
      <w:r>
        <w:rPr/>
        <w:t xml:space="preserve">VII, 13 et suiv.</w:t>
      </w:r>
    </w:p>
  </w:footnote>
  <w:footnote w:id="95">
    <w:p>
      <w:pPr>
        <w:pStyle w:val="Notedebasdepage"/>
      </w:pPr>
      <w:r>
        <w:rPr>
          <w:rStyle w:val="Appelnotedebasdep"/>
        </w:rPr>
        <w:footnoteRef/>
        <w:t xml:space="preserve"> </w:t>
      </w:r>
      <w:r>
        <w:rPr>
          <w:i/>
        </w:rPr>
        <w:t xml:space="preserve">Vendidad</w:t>
      </w:r>
      <w:r>
        <w:rPr/>
        <w:t xml:space="preserve"> ; XIX, 48, 49 ; </w:t>
      </w:r>
      <w:r>
        <w:rPr>
          <w:i/>
        </w:rPr>
        <w:t xml:space="preserve">Minokhired</w:t>
      </w:r>
      <w:r>
        <w:rPr/>
        <w:t xml:space="preserve">, passage publié dans la </w:t>
      </w:r>
      <w:r>
        <w:rPr>
          <w:i/>
        </w:rPr>
        <w:t xml:space="preserve">Zeitschrift der deutsshen morgenländischen Gesellschaft</w:t>
      </w:r>
      <w:r>
        <w:rPr/>
        <w:t xml:space="preserve">, I, 263 ; </w:t>
      </w:r>
      <w:r>
        <w:rPr>
          <w:i/>
        </w:rPr>
        <w:t xml:space="preserve">Boundehesch</w:t>
      </w:r>
      <w:r>
        <w:rPr/>
        <w:t xml:space="preserve"> XXXI. Le manque de chronologie certaine pour les textes zends et pehlvis laisse planer beaucoup de doute sur ces rapprochements entre les croyances juives et persanes.</w:t>
      </w:r>
    </w:p>
  </w:footnote>
  <w:footnote w:id="96">
    <w:p>
      <w:pPr>
        <w:pStyle w:val="Notedebasdepage"/>
      </w:pPr>
      <w:r>
        <w:rPr>
          <w:rStyle w:val="Appelnotedebasdep"/>
        </w:rPr>
        <w:footnoteRef/>
        <w:t xml:space="preserve"> </w:t>
      </w:r>
      <w:r>
        <w:rPr/>
        <w:t xml:space="preserve"> Egl. IV. Le </w:t>
      </w:r>
      <w:r>
        <w:rPr>
          <w:i/>
        </w:rPr>
        <w:t xml:space="preserve">Cumæum carmen</w:t>
      </w:r>
      <w:r>
        <w:rPr/>
        <w:t xml:space="preserve"> (v. 4) était une sorte d’apocalypse sibylline, empreinte de la philosophie de l’histoire familière à l’Orient. Voir Servius sur ce vers, et </w:t>
      </w:r>
      <w:r>
        <w:rPr>
          <w:i/>
        </w:rPr>
        <w:t xml:space="preserve">Carmina sibyllina</w:t>
      </w:r>
      <w:r>
        <w:rPr/>
        <w:t xml:space="preserve">, III, 97-817. Cf. Tac., </w:t>
      </w:r>
      <w:r>
        <w:rPr>
          <w:i/>
        </w:rPr>
        <w:t xml:space="preserve">Hist.</w:t>
      </w:r>
      <w:r>
        <w:rPr/>
        <w:t xml:space="preserve">, V, 13.</w:t>
      </w:r>
    </w:p>
  </w:footnote>
  <w:footnote w:id="97">
    <w:p>
      <w:pPr>
        <w:pStyle w:val="Notedebasdepage"/>
      </w:pPr>
      <w:r>
        <w:rPr>
          <w:rStyle w:val="Appelnotedebasdep"/>
        </w:rPr>
        <w:footnoteRef/>
        <w:t xml:space="preserve"> </w:t>
      </w:r>
      <w:r>
        <w:rPr/>
        <w:t xml:space="preserve">Luc, II, 25 et suiv.</w:t>
      </w:r>
    </w:p>
  </w:footnote>
  <w:footnote w:id="98">
    <w:p>
      <w:pPr>
        <w:pStyle w:val="Notedebasdepage"/>
      </w:pPr>
      <w:r>
        <w:rPr>
          <w:rStyle w:val="Appelnotedebasdep"/>
        </w:rPr>
        <w:footnoteRef/>
        <w:t xml:space="preserve"> </w:t>
      </w:r>
      <w:r>
        <w:rPr/>
        <w:t xml:space="preserve">Matth., XIII, 54 et suiv. ; Marc, VII, I et suiv. ; Jean, I, 45-46.</w:t>
      </w:r>
    </w:p>
  </w:footnote>
  <w:footnote w:id="99">
    <w:p>
      <w:pPr>
        <w:pStyle w:val="Notedebasdepage"/>
      </w:pPr>
      <w:r>
        <w:rPr>
          <w:rStyle w:val="Appelnotedebasdep"/>
        </w:rPr>
        <w:footnoteRef/>
        <w:t xml:space="preserve"> </w:t>
      </w:r>
      <w:r>
        <w:rPr/>
        <w:t xml:space="preserve">Elle n’est nommée ni dans les écrits de l’Ancien Testament, ni dans Josèphe, ni dans le Talmud.</w:t>
      </w:r>
    </w:p>
  </w:footnote>
  <w:footnote w:id="100">
    <w:p>
      <w:pPr>
        <w:pStyle w:val="Notedebasdepage"/>
      </w:pPr>
      <w:r>
        <w:rPr>
          <w:rStyle w:val="Appelnotedebasdep"/>
        </w:rPr>
        <w:footnoteRef/>
        <w:t xml:space="preserve"> </w:t>
      </w:r>
      <w:r>
        <w:rPr/>
        <w:t xml:space="preserve"> Marc, </w:t>
      </w:r>
      <w:r>
        <w:rPr/>
        <w:t xml:space="preserve">i</w:t>
      </w:r>
      <w:r>
        <w:rPr/>
        <w:t xml:space="preserve">, 24 ; Luc, XVIII, 37 ; Jean, XIX, 19 ; </w:t>
      </w:r>
      <w:r>
        <w:rPr>
          <w:i/>
        </w:rPr>
        <w:t xml:space="preserve">Act</w:t>
      </w:r>
      <w:r>
        <w:rPr/>
        <w:t xml:space="preserve">. II, 22 ; III, 6. De là le nom de </w:t>
      </w:r>
      <w:r>
        <w:rPr>
          <w:i/>
        </w:rPr>
        <w:t xml:space="preserve">Nazaréens</w:t>
      </w:r>
      <w:r>
        <w:rPr/>
        <w:t xml:space="preserve">, longtemps appliqué aux chrétiens, et qui les désigne encore dans tous les pays musulmans.</w:t>
      </w:r>
    </w:p>
  </w:footnote>
  <w:footnote w:id="101">
    <w:p>
      <w:pPr>
        <w:pStyle w:val="Notedebasdepage"/>
      </w:pPr>
      <w:r>
        <w:rPr>
          <w:rStyle w:val="Appelnotedebasdep"/>
        </w:rPr>
        <w:footnoteRef/>
        <w:t xml:space="preserve"> </w:t>
      </w:r>
      <w:r>
        <w:rPr/>
        <w:t xml:space="preserve"> Le recensement opéré par Quirinius, auquel la légende rattache le voyage de Bethléhem, est postérieur d’au moins dix ans à l’année où, selon Luc et Matthieu, Jésus serait né. Les deux évangélistes, en effet, font naître Jésus sous le règne d’Hérode (Matth., II, I, 49, 22 ; Luc, </w:t>
      </w:r>
      <w:r>
        <w:rPr/>
        <w:t xml:space="preserve">i</w:t>
      </w:r>
      <w:r>
        <w:rPr/>
        <w:t xml:space="preserve">, 5). Or, le recensement de Quirinius n’eut lieu qu’après la déposition d’Archélaüs, c’est-à-dire dix ans après la mort d’Hérode, l’an 37 de l’ère d’Actium (Josèphe, </w:t>
      </w:r>
      <w:r>
        <w:rPr>
          <w:i/>
        </w:rPr>
        <w:t xml:space="preserve">Ant</w:t>
      </w:r>
      <w:r>
        <w:rPr/>
        <w:t xml:space="preserve">., XVII, </w:t>
      </w:r>
      <w:r>
        <w:rPr/>
        <w:t xml:space="preserve">xiii</w:t>
      </w:r>
      <w:r>
        <w:rPr/>
        <w:t xml:space="preserve">, 5 ; XVIII, </w:t>
      </w:r>
      <w:r>
        <w:rPr/>
        <w:t xml:space="preserve">i</w:t>
      </w:r>
      <w:r>
        <w:rPr/>
        <w:t xml:space="preserve">, I ; II, I). L’inscription par laquelle on prétendait autrefois établir que Quirinius fit deux recensements est reconnue pour fausse (V. Orelli, </w:t>
      </w:r>
      <w:r>
        <w:rPr>
          <w:i/>
        </w:rPr>
        <w:t xml:space="preserve">Inscr. lat</w:t>
      </w:r>
      <w:r>
        <w:rPr/>
        <w:t xml:space="preserve">., nº 623, et le supplément de Henzen, à ce numéro ; Borghesi, </w:t>
      </w:r>
      <w:r>
        <w:rPr>
          <w:i/>
        </w:rPr>
        <w:t xml:space="preserve">Fastes consulaires</w:t>
      </w:r>
      <w:r>
        <w:rPr/>
        <w:t xml:space="preserve"> [encore inédits], à année 742). Le recensement en tout cas ne se serait appliqué qu’aux parties réduites en province romaine, et non aux tétrarchies. Les textes par lesquels on cherche à prouver que quelques-unes des opérations de statistique et de cadastre ordonnées par Auguste durent s’étendre au domaine des Hérodes, ou n’impliquent pas ce qu’on leur fait dire, ou sont d’auteurs chrétiens, qui ont emprunté cette donnée à l’Évangile de Luc. Ce qui prouve bien, d’ailleurs, que le voyage de la famille de Jésus à Bethléhem n’a rien d’historique, c’est le motif qu’on lui attribue. Jésus n’était pas de la famille de David (v. ci-dessous, p. 237-238), et, en eût-il été, on ne concevrait pas encore que ses parents eussent été forcés, pour une opération purement cadastrale et financière, de venir s’inscrire au lieu d’où leurs ancêtres étaient sortis depuis mille ans. En leur imposant une telle obligation, l’autorité romaine aurait sanctionné des prétentions pour elle pleines de menaces.</w:t>
      </w:r>
    </w:p>
  </w:footnote>
  <w:footnote w:id="102">
    <w:p>
      <w:pPr>
        <w:pStyle w:val="Notedebasdepage"/>
      </w:pPr>
      <w:r>
        <w:rPr>
          <w:rStyle w:val="Appelnotedebasdep"/>
        </w:rPr>
        <w:footnoteRef/>
        <w:t xml:space="preserve"> </w:t>
      </w:r>
      <w:r>
        <w:rPr/>
        <w:t xml:space="preserve">Ch. XIV.</w:t>
      </w:r>
    </w:p>
  </w:footnote>
  <w:footnote w:id="103">
    <w:p>
      <w:pPr>
        <w:pStyle w:val="Notedebasdepage"/>
      </w:pPr>
      <w:r>
        <w:rPr>
          <w:rStyle w:val="Appelnotedebasdep"/>
        </w:rPr>
        <w:footnoteRef/>
        <w:t xml:space="preserve"> </w:t>
      </w:r>
      <w:r>
        <w:rPr/>
        <w:t xml:space="preserve">Matth., II, 1 et suiv. ; Luc, II, 1 et suiv. L’omission de ce récit dans Marc, et les deux passages parallèles, Matth, XIII, 54, et Marc, VI, 1, où Nazareth figure comme « la patrie » de Jésus, prouvent qu’une telle légende manquait dans le texte primitif qui a fourni le canevas narratif des évangiles actuels de Matthieu et de Marc. C’est devant des objections souvent répétées qu’on aura ajouté, en tête de l’évangile de Matthieu, des réserves dont la contradiction avec le reste du texte n’était pas assez flagrante pour qu’on se soit cru obligé de corriger les endroits qui avaient d’abord été écrits à un tout autre point de vue. Luc, au contraire (IV, 16), écrivant avec réflexion, a employé, pour être conséquent, une expression plus adoucie. Quant à Jean, il ne sait rien du voyage de Bethléhem ; pour lui, Jésus est simplement « de Nazareth » ou « Galiléen », dans deux circonstances où il eût été de la plus haute importance de rappeler sa naissance à Bethléhem (I, 45-46 ; VII, 41-42).</w:t>
      </w:r>
    </w:p>
  </w:footnote>
  <w:footnote w:id="104">
    <w:p>
      <w:pPr>
        <w:pStyle w:val="Notedebasdepage"/>
      </w:pPr>
      <w:r>
        <w:rPr>
          <w:rStyle w:val="Appelnotedebasdep"/>
        </w:rPr>
        <w:footnoteRef/>
        <w:t xml:space="preserve"> </w:t>
      </w:r>
      <w:r>
        <w:rPr/>
        <w:t xml:space="preserve">On sait que le calcul qui sert de base à l’ère vulgaire a été fait au </w:t>
      </w:r>
      <w:r>
        <w:rPr/>
        <w:t xml:space="preserve">vi</w:t>
      </w:r>
      <w:r>
        <w:rPr>
          <w:vertAlign w:val="superscript"/>
        </w:rPr>
        <w:t>e</w:t>
      </w:r>
      <w:r>
        <w:rPr/>
        <w:t xml:space="preserve"> siècle par Denys le Petit. Ce calcul implique certaines données purement hypothétiques.</w:t>
      </w:r>
    </w:p>
  </w:footnote>
  <w:footnote w:id="105">
    <w:p>
      <w:pPr>
        <w:pStyle w:val="Notedebasdepage"/>
      </w:pPr>
      <w:r>
        <w:rPr>
          <w:rStyle w:val="Appelnotedebasdep"/>
        </w:rPr>
        <w:footnoteRef/>
        <w:t xml:space="preserve"> </w:t>
      </w:r>
      <w:r>
        <w:rPr/>
        <w:t xml:space="preserve">Matth., I, 21 ; Luc, I, 31.</w:t>
      </w:r>
    </w:p>
  </w:footnote>
  <w:footnote w:id="106">
    <w:p>
      <w:pPr>
        <w:pStyle w:val="Notedebasdepage"/>
      </w:pPr>
      <w:r>
        <w:rPr>
          <w:rStyle w:val="Appelnotedebasdep"/>
        </w:rPr>
        <w:footnoteRef/>
        <w:t xml:space="preserve"> </w:t>
      </w:r>
      <w:r>
        <w:rPr>
          <w:i/>
        </w:rPr>
        <w:t xml:space="preserve">Gelil haggoyim</w:t>
      </w:r>
      <w:r>
        <w:rPr/>
        <w:t xml:space="preserve">, « cercle des Gentils. »</w:t>
      </w:r>
    </w:p>
  </w:footnote>
  <w:footnote w:id="107">
    <w:p>
      <w:pPr>
        <w:pStyle w:val="Notedebasdepage"/>
      </w:pPr>
      <w:r>
        <w:rPr>
          <w:rStyle w:val="Appelnotedebasdep"/>
        </w:rPr>
        <w:footnoteRef/>
        <w:t xml:space="preserve"> </w:t>
      </w:r>
      <w:r>
        <w:rPr/>
        <w:t xml:space="preserve"> Strabon, XVI, II, 35 ; Jos., </w:t>
      </w:r>
      <w:r>
        <w:rPr>
          <w:i/>
        </w:rPr>
        <w:t xml:space="preserve">Vita</w:t>
      </w:r>
      <w:r>
        <w:rPr/>
        <w:t xml:space="preserve">, 12.</w:t>
      </w:r>
    </w:p>
  </w:footnote>
  <w:footnote w:id="108">
    <w:p>
      <w:pPr>
        <w:pStyle w:val="Notedebasdepage"/>
      </w:pPr>
      <w:r>
        <w:rPr>
          <w:rStyle w:val="Appelnotedebasdep"/>
        </w:rPr>
        <w:footnoteRef/>
        <w:t xml:space="preserve"> </w:t>
      </w:r>
      <w:r>
        <w:rPr/>
        <w:t xml:space="preserve"> On expliquera plus tard (ch. XIV), l’origine des généalogies destinées à le rattacher à la race de David. Les Ébionira les supprimaient (Epiph., </w:t>
      </w:r>
      <w:r>
        <w:rPr>
          <w:i/>
        </w:rPr>
        <w:t xml:space="preserve">Adv. hær</w:t>
      </w:r>
      <w:r>
        <w:rPr/>
        <w:t xml:space="preserve">., XXX, 14).</w:t>
      </w:r>
    </w:p>
  </w:footnote>
  <w:footnote w:id="109">
    <w:p>
      <w:pPr>
        <w:pStyle w:val="Notedebasdepage"/>
      </w:pPr>
      <w:r>
        <w:rPr>
          <w:rStyle w:val="Appelnotedebasdep"/>
        </w:rPr>
        <w:footnoteRef/>
        <w:t xml:space="preserve"> </w:t>
      </w:r>
      <w:r>
        <w:rPr/>
        <w:t xml:space="preserve">Matth., XIII, 55 ; Marc, VI, 3 ; Jean, VI, 42.</w:t>
      </w:r>
    </w:p>
  </w:footnote>
  <w:footnote w:id="110">
    <w:p>
      <w:pPr>
        <w:pStyle w:val="Notedebasdepage"/>
      </w:pPr>
      <w:r>
        <w:rPr>
          <w:rStyle w:val="Appelnotedebasdep"/>
        </w:rPr>
        <w:footnoteRef/>
        <w:t xml:space="preserve"> </w:t>
      </w:r>
      <w:r>
        <w:rPr/>
        <w:t xml:space="preserve">L’aspect grossier des ruines qui couvrent la Palestine prouve que les villes qui ne furent pas reconstruites à la manière romaine étaient fort mal bâties. Quant à la forme des maisons, elle est, en Syrie, si simple et si impérieusement commandée par le climat qu’elle n’a jamais dû changer.</w:t>
      </w:r>
    </w:p>
  </w:footnote>
  <w:footnote w:id="111">
    <w:p>
      <w:pPr>
        <w:pStyle w:val="Notedebasdepage"/>
      </w:pPr>
      <w:r>
        <w:rPr>
          <w:rStyle w:val="Appelnotedebasdep"/>
        </w:rPr>
        <w:footnoteRef/>
        <w:t xml:space="preserve"> </w:t>
      </w:r>
      <w:r>
        <w:rPr/>
        <w:t xml:space="preserve"> Matth., XII, 46 et suiv. ; XIII, 55 et suiv. ; Marc, III, 31 et suiv. ; VI, 3 ; Luc, VIII, 19 et suiv. ; Jean, II 42 ; VII, 3, 5, 40 ; </w:t>
      </w:r>
      <w:r>
        <w:rPr>
          <w:i/>
        </w:rPr>
        <w:t xml:space="preserve">Act. i, 14</w:t>
      </w:r>
      <w:r>
        <w:rPr/>
        <w:t xml:space="preserve">.</w:t>
      </w:r>
    </w:p>
  </w:footnote>
  <w:footnote w:id="112">
    <w:p>
      <w:pPr>
        <w:pStyle w:val="Notedebasdepage"/>
      </w:pPr>
      <w:r>
        <w:rPr>
          <w:rStyle w:val="Appelnotedebasdep"/>
        </w:rPr>
        <w:footnoteRef/>
        <w:t xml:space="preserve"> </w:t>
      </w:r>
      <w:r>
        <w:rPr/>
        <w:t xml:space="preserve"> Matth., </w:t>
      </w:r>
      <w:r>
        <w:rPr/>
        <w:t xml:space="preserve">i</w:t>
      </w:r>
      <w:r>
        <w:rPr/>
        <w:t xml:space="preserve">, 25.</w:t>
      </w:r>
    </w:p>
  </w:footnote>
  <w:footnote w:id="113">
    <w:p>
      <w:pPr>
        <w:pStyle w:val="Notedebasdepage"/>
      </w:pPr>
      <w:r>
        <w:rPr>
          <w:rStyle w:val="Appelnotedebasdep"/>
        </w:rPr>
        <w:footnoteRef/>
        <w:t xml:space="preserve"> </w:t>
      </w:r>
      <w:r>
        <w:rPr/>
        <w:t xml:space="preserve">Ces deux sœurs portant le même nom sont un fait singulier. Il y a là probablement quelque inexactitude, venant de l’habitude de donner presque indistinctement aux Galiléénnes le nom de Marie.</w:t>
      </w:r>
    </w:p>
  </w:footnote>
  <w:footnote w:id="114">
    <w:p>
      <w:pPr>
        <w:pStyle w:val="Notedebasdepage"/>
      </w:pPr>
      <w:r>
        <w:rPr>
          <w:rStyle w:val="Appelnotedebasdep"/>
        </w:rPr>
        <w:footnoteRef/>
        <w:t xml:space="preserve"> </w:t>
      </w:r>
      <w:r>
        <w:rPr/>
        <w:t xml:space="preserve"> Ils ne sont pas étymologiquement identiques. [Greek : Alphaios] est la transcription du nom syro-chaldaïque </w:t>
      </w:r>
      <w:r>
        <w:rPr>
          <w:i/>
        </w:rPr>
        <w:t xml:space="preserve">Halphaï</w:t>
      </w:r>
      <w:r>
        <w:rPr/>
        <w:t xml:space="preserve"> ; [Greek : Klôpas] ou [Greek : Kleopas] est une forme écourtée de [Greek : Kleopatros]. Mais il pouvait y avoir substitution artificielle de l’un à l’autre, de même que les Joseph se faisaient appeler « Hégésippe », les Eliakim « Alcimus », etc.</w:t>
      </w:r>
    </w:p>
  </w:footnote>
  <w:footnote w:id="115">
    <w:p>
      <w:pPr>
        <w:pStyle w:val="Notedebasdepage"/>
      </w:pPr>
      <w:r>
        <w:rPr>
          <w:rStyle w:val="Appelnotedebasdep"/>
        </w:rPr>
        <w:footnoteRef/>
        <w:t xml:space="preserve"> </w:t>
      </w:r>
      <w:r>
        <w:rPr/>
        <w:t xml:space="preserve">Jean, VII, 3 et suiv.</w:t>
      </w:r>
    </w:p>
  </w:footnote>
  <w:footnote w:id="116">
    <w:p>
      <w:pPr>
        <w:pStyle w:val="Notedebasdepage"/>
      </w:pPr>
      <w:r>
        <w:rPr>
          <w:rStyle w:val="Appelnotedebasdep"/>
        </w:rPr>
        <w:footnoteRef/>
        <w:t xml:space="preserve"> </w:t>
      </w:r>
      <w:r>
        <w:rPr/>
        <w:t xml:space="preserve"> En effet, les quatre personnages qui sont donnés (Matth., XIII, 55 ; Marc, VI, 3) comme fils de Marie, mère de Jésus : Jacob, Joseph ou José, Simon et Jude, se retrouvent ou à peu près comme fils de Marie et de Cléophas (Matth., XXVII, 56 ; Marc, XV, 40 ; </w:t>
      </w:r>
      <w:r>
        <w:rPr>
          <w:i/>
        </w:rPr>
        <w:t xml:space="preserve">Gal</w:t>
      </w:r>
      <w:r>
        <w:rPr/>
        <w:t xml:space="preserve">., I, 19 ; </w:t>
      </w:r>
      <w:r>
        <w:rPr>
          <w:i/>
        </w:rPr>
        <w:t xml:space="preserve">Epist. Jac.</w:t>
      </w:r>
      <w:r>
        <w:rPr/>
        <w:t xml:space="preserve">, I, 1 ; </w:t>
      </w:r>
      <w:r>
        <w:rPr>
          <w:i/>
        </w:rPr>
        <w:t xml:space="preserve">Epist. Judæ</w:t>
      </w:r>
      <w:r>
        <w:rPr/>
        <w:t xml:space="preserve">, 4 ; Euseb., </w:t>
      </w:r>
      <w:r>
        <w:rPr>
          <w:i/>
        </w:rPr>
        <w:t xml:space="preserve">Chron.</w:t>
      </w:r>
      <w:r>
        <w:rPr/>
        <w:t xml:space="preserve"> ad ann. R. DCCCX ; </w:t>
      </w:r>
      <w:r>
        <w:rPr>
          <w:i/>
        </w:rPr>
        <w:t xml:space="preserve">Hist. eccl</w:t>
      </w:r>
      <w:r>
        <w:rPr/>
        <w:t xml:space="preserve">., III, 11, 32 ; </w:t>
      </w:r>
      <w:r>
        <w:rPr>
          <w:i/>
        </w:rPr>
        <w:t xml:space="preserve">Constit. Apost</w:t>
      </w:r>
      <w:r>
        <w:rPr/>
        <w:t xml:space="preserve">., VII, 46). L’hypothèse que nous proposons lève seule l’énorme difficulté que l’on trouve à supposer deux sœurs ayant chacune trois ou quatre fils portant les mêmes noms, et à admettre que Jacques et Simon, les deux premiers évoques de Jérusalem, qualifiés de « frères du Seigneur », aient été de vrais frères de Jésus, qui auraient commencé par lui être hostiles, puis se seraient convertis. L’évangéliste, entendant appeler ces quatre fils de Cléophas « frères du Seigneur », aura mis, par erreur, leur nom au passage </w:t>
      </w:r>
      <w:r>
        <w:rPr>
          <w:i/>
        </w:rPr>
        <w:t xml:space="preserve">Matth.</w:t>
      </w:r>
      <w:r>
        <w:rPr/>
        <w:t xml:space="preserve">, XIII, 55 — </w:t>
      </w:r>
      <w:r>
        <w:rPr>
          <w:i/>
        </w:rPr>
        <w:t xml:space="preserve">Marc</w:t>
      </w:r>
      <w:r>
        <w:rPr/>
        <w:t xml:space="preserve">, VI, 3, à la place des noms des vrais frères, restés toujours obscurs. On s’explique de la sorte comment le caractère des personnages appelés « frères du Seigneur », de Jacques par exemple, est si différent de celui des vrais frères de Jésus, tel qu’on le voit se dessiner dans Jean, VII, 3 et suiv. L’expression de « frère du Seigneur » constitua évidemment, dans l’Église primitive, une espèce d’ordre parallèle à celui des apôtres. Voir surtout I </w:t>
      </w:r>
      <w:r>
        <w:rPr>
          <w:i/>
        </w:rPr>
        <w:t xml:space="preserve">Cor.</w:t>
      </w:r>
      <w:r>
        <w:rPr/>
        <w:t xml:space="preserve">, IX, 5.</w:t>
      </w:r>
    </w:p>
  </w:footnote>
  <w:footnote w:id="117">
    <w:p>
      <w:pPr>
        <w:pStyle w:val="Notedebasdepage"/>
      </w:pPr>
      <w:r>
        <w:rPr>
          <w:rStyle w:val="Appelnotedebasdep"/>
        </w:rPr>
        <w:footnoteRef/>
        <w:t xml:space="preserve"> </w:t>
      </w:r>
      <w:r>
        <w:rPr>
          <w:i/>
        </w:rPr>
        <w:t xml:space="preserve">Act.</w:t>
      </w:r>
      <w:r>
        <w:rPr/>
        <w:t xml:space="preserve">, I, 45.</w:t>
      </w:r>
    </w:p>
  </w:footnote>
  <w:footnote w:id="118">
    <w:p>
      <w:pPr>
        <w:pStyle w:val="Notedebasdepage"/>
      </w:pPr>
      <w:r>
        <w:rPr>
          <w:rStyle w:val="Appelnotedebasdep"/>
        </w:rPr>
        <w:footnoteRef/>
        <w:t xml:space="preserve"> </w:t>
      </w:r>
      <w:r>
        <w:rPr/>
        <w:t xml:space="preserve">Marc, VI, 3.</w:t>
      </w:r>
    </w:p>
  </w:footnote>
  <w:footnote w:id="119">
    <w:p>
      <w:pPr>
        <w:pStyle w:val="Notedebasdepage"/>
      </w:pPr>
      <w:r>
        <w:rPr>
          <w:rStyle w:val="Appelnotedebasdep"/>
        </w:rPr>
        <w:footnoteRef/>
        <w:t xml:space="preserve"> </w:t>
      </w:r>
      <w:r>
        <w:rPr/>
        <w:t xml:space="preserve">Selon Josèphe </w:t>
      </w:r>
      <w:r>
        <w:rPr>
          <w:i/>
        </w:rPr>
        <w:t xml:space="preserve">(B. J</w:t>
      </w:r>
      <w:r>
        <w:rPr/>
        <w:t xml:space="preserve">. III, </w:t>
      </w:r>
      <w:r>
        <w:rPr/>
        <w:t xml:space="preserve">iii</w:t>
      </w:r>
      <w:r>
        <w:rPr/>
        <w:t xml:space="preserve">, 2), le plus petit bourg de Galilée avait plus de cinq mille habitants. Il y a là probablement de l’exagération.</w:t>
      </w:r>
    </w:p>
  </w:footnote>
  <w:footnote w:id="120">
    <w:p>
      <w:pPr>
        <w:pStyle w:val="Notedebasdepage"/>
      </w:pPr>
      <w:r>
        <w:rPr>
          <w:rStyle w:val="Appelnotedebasdep"/>
        </w:rPr>
        <w:footnoteRef/>
        <w:t xml:space="preserve"> </w:t>
      </w:r>
      <w:r>
        <w:rPr>
          <w:i/>
        </w:rPr>
        <w:t xml:space="preserve">Itiner</w:t>
      </w:r>
      <w:r>
        <w:rPr/>
        <w:t xml:space="preserve">., § 5.</w:t>
      </w:r>
    </w:p>
  </w:footnote>
  <w:footnote w:id="121">
    <w:p>
      <w:pPr>
        <w:pStyle w:val="Notedebasdepage"/>
      </w:pPr>
      <w:r>
        <w:rPr>
          <w:rStyle w:val="Appelnotedebasdep"/>
        </w:rPr>
        <w:footnoteRef/>
        <w:t xml:space="preserve"> </w:t>
      </w:r>
      <w:r>
        <w:rPr/>
        <w:t xml:space="preserve">Antonin Martyr, endroit cité.</w:t>
      </w:r>
    </w:p>
  </w:footnote>
  <w:footnote w:id="122">
    <w:p>
      <w:pPr>
        <w:pStyle w:val="Notedebasdepage"/>
      </w:pPr>
      <w:r>
        <w:rPr>
          <w:rStyle w:val="Appelnotedebasdep"/>
        </w:rPr>
        <w:footnoteRef/>
        <w:t xml:space="preserve"> </w:t>
      </w:r>
      <w:r>
        <w:rPr/>
        <w:t xml:space="preserve">Jean, VIII, 6.</w:t>
      </w:r>
    </w:p>
  </w:footnote>
  <w:footnote w:id="123">
    <w:p>
      <w:pPr>
        <w:pStyle w:val="Notedebasdepage"/>
      </w:pPr>
      <w:r>
        <w:rPr>
          <w:rStyle w:val="Appelnotedebasdep"/>
        </w:rPr>
        <w:footnoteRef/>
        <w:t xml:space="preserve"> </w:t>
      </w:r>
      <w:r>
        <w:rPr/>
        <w:t xml:space="preserve">Testam. des douze Patr. Lévi, 6.</w:t>
      </w:r>
    </w:p>
  </w:footnote>
  <w:footnote w:id="124">
    <w:p>
      <w:pPr>
        <w:pStyle w:val="Notedebasdepage"/>
      </w:pPr>
      <w:r>
        <w:rPr>
          <w:rStyle w:val="Appelnotedebasdep"/>
        </w:rPr>
        <w:footnoteRef/>
        <w:t xml:space="preserve"> </w:t>
      </w:r>
      <w:r>
        <w:rPr/>
        <w:t xml:space="preserve">Matth., XXVII, 46 ; Marc, XV, 34.</w:t>
      </w:r>
    </w:p>
  </w:footnote>
  <w:footnote w:id="125">
    <w:p>
      <w:pPr>
        <w:pStyle w:val="Notedebasdepage"/>
      </w:pPr>
      <w:r>
        <w:rPr>
          <w:rStyle w:val="Appelnotedebasdep"/>
        </w:rPr>
        <w:footnoteRef/>
        <w:t xml:space="preserve"> </w:t>
      </w:r>
      <w:r>
        <w:rPr/>
        <w:t xml:space="preserve">Traductions et commentaires juifs, de l’époque talmudique.</w:t>
      </w:r>
    </w:p>
  </w:footnote>
  <w:footnote w:id="126">
    <w:p>
      <w:pPr>
        <w:pStyle w:val="Notedebasdepage"/>
      </w:pPr>
      <w:r>
        <w:rPr>
          <w:rStyle w:val="Appelnotedebasdep"/>
        </w:rPr>
        <w:footnoteRef/>
        <w:t xml:space="preserve"> </w:t>
      </w:r>
      <w:r>
        <w:rPr/>
        <w:t xml:space="preserve"> Mischna, </w:t>
      </w:r>
      <w:r>
        <w:rPr>
          <w:i/>
        </w:rPr>
        <w:t xml:space="preserve">Schabbath</w:t>
      </w:r>
      <w:r>
        <w:rPr/>
        <w:t xml:space="preserve"> I, 3.</w:t>
      </w:r>
    </w:p>
  </w:footnote>
  <w:footnote w:id="127">
    <w:p>
      <w:pPr>
        <w:pStyle w:val="Notedebasdepage"/>
      </w:pPr>
      <w:r>
        <w:rPr>
          <w:rStyle w:val="Appelnotedebasdep"/>
        </w:rPr>
        <w:footnoteRef/>
        <w:t xml:space="preserve"> </w:t>
      </w:r>
      <w:r>
        <w:rPr/>
        <w:t xml:space="preserve">Matth., XIII, 54 et suiv. ; Jean, VII, 15.</w:t>
      </w:r>
    </w:p>
  </w:footnote>
  <w:footnote w:id="128">
    <w:p>
      <w:pPr>
        <w:pStyle w:val="Notedebasdepage"/>
      </w:pPr>
      <w:r>
        <w:rPr>
          <w:rStyle w:val="Appelnotedebasdep"/>
        </w:rPr>
        <w:footnoteRef/>
        <w:t xml:space="preserve"> </w:t>
      </w:r>
      <w:r>
        <w:rPr/>
        <w:t xml:space="preserve"> Mischna, </w:t>
      </w:r>
      <w:r>
        <w:rPr>
          <w:i/>
        </w:rPr>
        <w:t xml:space="preserve">Schekalim</w:t>
      </w:r>
      <w:r>
        <w:rPr/>
        <w:t xml:space="preserve">, III, 2 ; Talmud de Jérusalem, </w:t>
      </w:r>
      <w:r>
        <w:rPr>
          <w:i/>
        </w:rPr>
        <w:t xml:space="preserve">Megilla</w:t>
      </w:r>
      <w:r>
        <w:rPr/>
        <w:t xml:space="preserve">, halaca XI ; </w:t>
      </w:r>
      <w:r>
        <w:rPr>
          <w:i/>
        </w:rPr>
        <w:t xml:space="preserve">Sota</w:t>
      </w:r>
      <w:r>
        <w:rPr/>
        <w:t xml:space="preserve">, VII, 1 ; Talmud de Babylone, </w:t>
      </w:r>
      <w:r>
        <w:rPr>
          <w:i/>
        </w:rPr>
        <w:t xml:space="preserve">Baba Kama</w:t>
      </w:r>
      <w:r>
        <w:rPr/>
        <w:t xml:space="preserve">, 83 </w:t>
      </w:r>
      <w:r>
        <w:rPr>
          <w:i/>
        </w:rPr>
        <w:t xml:space="preserve">a</w:t>
      </w:r>
      <w:r>
        <w:rPr/>
        <w:t xml:space="preserve"> ; </w:t>
      </w:r>
      <w:r>
        <w:rPr>
          <w:i/>
        </w:rPr>
        <w:t xml:space="preserve">Megilla</w:t>
      </w:r>
      <w:r>
        <w:rPr/>
        <w:t xml:space="preserve">, 8 </w:t>
      </w:r>
      <w:r>
        <w:rPr>
          <w:i/>
        </w:rPr>
        <w:t xml:space="preserve">b</w:t>
      </w:r>
      <w:r>
        <w:rPr/>
        <w:t xml:space="preserve"> et suiv.</w:t>
      </w:r>
    </w:p>
  </w:footnote>
  <w:footnote w:id="129">
    <w:p>
      <w:pPr>
        <w:pStyle w:val="Notedebasdepage"/>
      </w:pPr>
      <w:r>
        <w:rPr>
          <w:rStyle w:val="Appelnotedebasdep"/>
        </w:rPr>
        <w:footnoteRef/>
        <w:t xml:space="preserve"> </w:t>
      </w:r>
      <w:r>
        <w:rPr/>
        <w:t xml:space="preserve"> Matth., XXVII, 46 ; Marc, III, 17 ; V, 41 ; VII, 34 ; XIV, 36 ; XV, 34. L’expression [Greek : ê patrios phônê], dans les écrivains de ce temps, désigne toujours le dialecte sémitique qu’on parlait en Palestine (II Macch., VII, 21, 27 ; XII, 37 ; </w:t>
      </w:r>
      <w:r>
        <w:rPr>
          <w:i/>
        </w:rPr>
        <w:t xml:space="preserve">Actes</w:t>
      </w:r>
      <w:r>
        <w:rPr/>
        <w:t xml:space="preserve">, XXI, 37, 40 ; XXII, 2 ; XXVI, 14 ; Josèphe, </w:t>
      </w:r>
      <w:r>
        <w:rPr>
          <w:i/>
        </w:rPr>
        <w:t xml:space="preserve">Ant</w:t>
      </w:r>
      <w:r>
        <w:rPr/>
        <w:t xml:space="preserve">., XVIII, VI, 10 ; XX, sub fin. ; </w:t>
      </w:r>
      <w:r>
        <w:rPr>
          <w:i/>
        </w:rPr>
        <w:t xml:space="preserve">B. J</w:t>
      </w:r>
      <w:r>
        <w:rPr/>
        <w:t xml:space="preserve">. prooem. 1, V, VI, 3 ; V, IX, 2 ; VI, II, 1 ; </w:t>
      </w:r>
      <w:r>
        <w:rPr>
          <w:i/>
        </w:rPr>
        <w:t xml:space="preserve">Contre Apion</w:t>
      </w:r>
      <w:r>
        <w:rPr/>
        <w:t xml:space="preserve">, I, 9 ; </w:t>
      </w:r>
      <w:r>
        <w:rPr>
          <w:i/>
        </w:rPr>
        <w:t xml:space="preserve">De Macch</w:t>
      </w:r>
      <w:r>
        <w:rPr/>
        <w:t xml:space="preserve">., 12, 16). Nous montrerons plus tard que quelques-uns des documents qui servirent de base aux Évangiles synoptiques ont été écrits en ce dialecte sémitique. Il en fut de même pour plusieurs apocryphes (IVe livre des Macch., XVI, ad calcem, etc.). Enfin, la chrétienté directement issue du premier mouvement galiléen (Nazaréens, </w:t>
      </w:r>
      <w:r>
        <w:rPr>
          <w:i/>
        </w:rPr>
        <w:t xml:space="preserve">Ébionim</w:t>
      </w:r>
      <w:r>
        <w:rPr/>
        <w:t xml:space="preserve">, etc.), laquelle se continua longtemps dans la Batanée et le Hauran, parlait un dialecte sémitique (Eusèbe, </w:t>
      </w:r>
      <w:r>
        <w:rPr>
          <w:i/>
        </w:rPr>
        <w:t xml:space="preserve">De situ et nomin. loc. hebr</w:t>
      </w:r>
      <w:r>
        <w:rPr/>
        <w:t xml:space="preserve">., au mot [Greek : Chôba] ; Epiph., </w:t>
      </w:r>
      <w:r>
        <w:rPr>
          <w:i/>
        </w:rPr>
        <w:t xml:space="preserve">Adv. hær</w:t>
      </w:r>
      <w:r>
        <w:rPr/>
        <w:t xml:space="preserve">., XXIX, 7, 9 ; XXX, 3 ; S. Jérôme, </w:t>
      </w:r>
      <w:r>
        <w:rPr>
          <w:i/>
        </w:rPr>
        <w:t xml:space="preserve">In Matth</w:t>
      </w:r>
      <w:r>
        <w:rPr/>
        <w:t xml:space="preserve">., XII, 13 ; </w:t>
      </w:r>
      <w:r>
        <w:rPr>
          <w:i/>
        </w:rPr>
        <w:t xml:space="preserve">Dial. adv. Pelag</w:t>
      </w:r>
      <w:r>
        <w:rPr/>
        <w:t xml:space="preserve">., III, 2).</w:t>
      </w:r>
    </w:p>
  </w:footnote>
  <w:footnote w:id="130">
    <w:p>
      <w:pPr>
        <w:pStyle w:val="Notedebasdepage"/>
      </w:pPr>
      <w:r>
        <w:rPr>
          <w:rStyle w:val="Appelnotedebasdep"/>
        </w:rPr>
        <w:footnoteRef/>
        <w:t xml:space="preserve"> </w:t>
      </w:r>
      <w:r>
        <w:rPr/>
        <w:t xml:space="preserve"> Mischna, </w:t>
      </w:r>
      <w:r>
        <w:rPr>
          <w:i/>
        </w:rPr>
        <w:t xml:space="preserve">Sanhedrin</w:t>
      </w:r>
      <w:r>
        <w:rPr/>
        <w:t xml:space="preserve">, XI, 1 ; Talmud de Babylone, </w:t>
      </w:r>
      <w:r>
        <w:rPr>
          <w:i/>
        </w:rPr>
        <w:t xml:space="preserve">Baba Kama</w:t>
      </w:r>
      <w:r>
        <w:rPr/>
        <w:t xml:space="preserve">, 82 </w:t>
      </w:r>
      <w:r>
        <w:rPr>
          <w:i/>
        </w:rPr>
        <w:t xml:space="preserve">b</w:t>
      </w:r>
      <w:r>
        <w:rPr/>
        <w:t xml:space="preserve"> et 83 </w:t>
      </w:r>
      <w:r>
        <w:rPr>
          <w:i/>
        </w:rPr>
        <w:t xml:space="preserve">a ; Sota</w:t>
      </w:r>
      <w:r>
        <w:rPr/>
        <w:t xml:space="preserve">, 49, </w:t>
      </w:r>
      <w:r>
        <w:rPr>
          <w:i/>
        </w:rPr>
        <w:t xml:space="preserve">a</w:t>
      </w:r>
      <w:r>
        <w:rPr/>
        <w:t xml:space="preserve"> et </w:t>
      </w:r>
      <w:r>
        <w:rPr>
          <w:i/>
        </w:rPr>
        <w:t xml:space="preserve">b ; Menachoth</w:t>
      </w:r>
      <w:r>
        <w:rPr/>
        <w:t xml:space="preserve">, 64 </w:t>
      </w:r>
      <w:r>
        <w:rPr>
          <w:i/>
        </w:rPr>
        <w:t xml:space="preserve">b</w:t>
      </w:r>
      <w:r>
        <w:rPr/>
        <w:t xml:space="preserve"> ; Comp. II Macch., IV, 10 et suiv.</w:t>
      </w:r>
    </w:p>
  </w:footnote>
  <w:footnote w:id="131">
    <w:p>
      <w:pPr>
        <w:pStyle w:val="Notedebasdepage"/>
      </w:pPr>
      <w:r>
        <w:rPr>
          <w:rStyle w:val="Appelnotedebasdep"/>
        </w:rPr>
        <w:footnoteRef/>
        <w:t xml:space="preserve"> </w:t>
      </w:r>
      <w:r>
        <w:rPr/>
        <w:t xml:space="preserve"> Jos., </w:t>
      </w:r>
      <w:r>
        <w:rPr>
          <w:i/>
        </w:rPr>
        <w:t xml:space="preserve">Ant</w:t>
      </w:r>
      <w:r>
        <w:rPr/>
        <w:t xml:space="preserve">., XX, XI, 2.</w:t>
      </w:r>
    </w:p>
  </w:footnote>
  <w:footnote w:id="132">
    <w:p>
      <w:pPr>
        <w:pStyle w:val="Notedebasdepage"/>
      </w:pPr>
      <w:r>
        <w:rPr>
          <w:rStyle w:val="Appelnotedebasdep"/>
        </w:rPr>
        <w:footnoteRef/>
        <w:t xml:space="preserve"> </w:t>
      </w:r>
      <w:r>
        <w:rPr/>
        <w:t xml:space="preserve"> Talmud de Jérusalem, </w:t>
      </w:r>
      <w:r>
        <w:rPr>
          <w:i/>
        </w:rPr>
        <w:t xml:space="preserve">Péah</w:t>
      </w:r>
      <w:r>
        <w:rPr/>
        <w:t xml:space="preserve">, I, 1.</w:t>
      </w:r>
    </w:p>
  </w:footnote>
  <w:footnote w:id="133">
    <w:p>
      <w:pPr>
        <w:pStyle w:val="Notedebasdepage"/>
      </w:pPr>
      <w:r>
        <w:rPr>
          <w:rStyle w:val="Appelnotedebasdep"/>
        </w:rPr>
        <w:footnoteRef/>
        <w:t xml:space="preserve"> </w:t>
      </w:r>
      <w:r>
        <w:rPr/>
        <w:t xml:space="preserve"> Jos. </w:t>
      </w:r>
      <w:r>
        <w:rPr>
          <w:i/>
        </w:rPr>
        <w:t xml:space="preserve">Ant</w:t>
      </w:r>
      <w:r>
        <w:rPr/>
        <w:t xml:space="preserve">., loc. cit. ; Orig., </w:t>
      </w:r>
      <w:r>
        <w:rPr>
          <w:i/>
        </w:rPr>
        <w:t xml:space="preserve">Contra Celsum</w:t>
      </w:r>
      <w:r>
        <w:rPr/>
        <w:t xml:space="preserve">, II, 34.</w:t>
      </w:r>
    </w:p>
  </w:footnote>
  <w:footnote w:id="134">
    <w:p>
      <w:pPr>
        <w:pStyle w:val="Notedebasdepage"/>
      </w:pPr>
      <w:r>
        <w:rPr>
          <w:rStyle w:val="Appelnotedebasdep"/>
        </w:rPr>
        <w:footnoteRef/>
        <w:t xml:space="preserve"> </w:t>
      </w:r>
      <w:r>
        <w:rPr/>
        <w:t xml:space="preserve"> Talmud de Jérusalem, </w:t>
      </w:r>
      <w:r>
        <w:rPr>
          <w:i/>
        </w:rPr>
        <w:t xml:space="preserve">Péah</w:t>
      </w:r>
      <w:r>
        <w:rPr/>
        <w:t xml:space="preserve">, I, 1 ; Talmud de Babylone, </w:t>
      </w:r>
      <w:r>
        <w:rPr>
          <w:i/>
        </w:rPr>
        <w:t xml:space="preserve">Menachoth</w:t>
      </w:r>
      <w:r>
        <w:rPr/>
        <w:t xml:space="preserve">, 99 </w:t>
      </w:r>
      <w:r>
        <w:rPr>
          <w:i/>
        </w:rPr>
        <w:t xml:space="preserve">b</w:t>
      </w:r>
      <w:r>
        <w:rPr/>
        <w:t xml:space="preserve">.</w:t>
      </w:r>
    </w:p>
  </w:footnote>
  <w:footnote w:id="135">
    <w:p>
      <w:pPr>
        <w:pStyle w:val="Notedebasdepage"/>
      </w:pPr>
      <w:r>
        <w:rPr>
          <w:rStyle w:val="Appelnotedebasdep"/>
        </w:rPr>
        <w:footnoteRef/>
        <w:t xml:space="preserve"> </w:t>
      </w:r>
      <w:r>
        <w:rPr/>
        <w:t xml:space="preserve"> Les </w:t>
      </w:r>
      <w:r>
        <w:rPr>
          <w:i/>
        </w:rPr>
        <w:t xml:space="preserve">Thérapeutes</w:t>
      </w:r>
      <w:r>
        <w:rPr/>
        <w:t xml:space="preserve"> de Philon sont une branche d’Esséniens. Leur nom même paraît n’être qu’une traduction grecque de celui des </w:t>
      </w:r>
      <w:r>
        <w:rPr>
          <w:i/>
        </w:rPr>
        <w:t xml:space="preserve">Esséniens</w:t>
      </w:r>
      <w:r>
        <w:rPr/>
        <w:t xml:space="preserve"> [Greek : Essaioi], </w:t>
      </w:r>
      <w:r>
        <w:rPr>
          <w:i/>
        </w:rPr>
        <w:t xml:space="preserve">asaya</w:t>
      </w:r>
      <w:r>
        <w:rPr/>
        <w:t xml:space="preserve">, « médecins »). Cf. Philon, </w:t>
      </w:r>
      <w:r>
        <w:rPr>
          <w:i/>
        </w:rPr>
        <w:t xml:space="preserve">De Vila contempl</w:t>
      </w:r>
      <w:r>
        <w:rPr/>
        <w:t xml:space="preserve">., init.</w:t>
      </w:r>
    </w:p>
  </w:footnote>
  <w:footnote w:id="136">
    <w:p>
      <w:pPr>
        <w:pStyle w:val="Notedebasdepage"/>
      </w:pPr>
      <w:r>
        <w:rPr>
          <w:rStyle w:val="Appelnotedebasdep"/>
        </w:rPr>
        <w:footnoteRef/>
        <w:t xml:space="preserve"> </w:t>
      </w:r>
      <w:r>
        <w:rPr/>
        <w:t xml:space="preserve"> Voir surtout les traités </w:t>
      </w:r>
      <w:r>
        <w:rPr>
          <w:i/>
        </w:rPr>
        <w:t xml:space="preserve">Quis rerum divinarum hæres sit</w:t>
      </w:r>
      <w:r>
        <w:rPr/>
        <w:t xml:space="preserve"> et _</w:t>
      </w:r>
      <w:r>
        <w:rPr>
          <w:i/>
        </w:rPr>
        <w:t xml:space="preserve">De Philanthropia</w:t>
      </w:r>
      <w:r>
        <w:rPr/>
        <w:t xml:space="preserve">_ de Philon.</w:t>
      </w:r>
    </w:p>
  </w:footnote>
  <w:footnote w:id="137">
    <w:p>
      <w:pPr>
        <w:pStyle w:val="Notedebasdepage"/>
      </w:pPr>
      <w:r>
        <w:rPr>
          <w:rStyle w:val="Appelnotedebasdep"/>
        </w:rPr>
        <w:footnoteRef/>
        <w:t xml:space="preserve"> </w:t>
      </w:r>
      <w:r>
        <w:rPr>
          <w:i/>
        </w:rPr>
        <w:t xml:space="preserve">Pirké Aboth</w:t>
      </w:r>
      <w:r>
        <w:rPr/>
        <w:t xml:space="preserve">, ch. I et II ; Talm. de Jérus., </w:t>
      </w:r>
      <w:r>
        <w:rPr>
          <w:i/>
        </w:rPr>
        <w:t xml:space="preserve">Pesachim</w:t>
      </w:r>
      <w:r>
        <w:rPr/>
        <w:t xml:space="preserve">, VI, 1 ; Talm. de Bab., </w:t>
      </w:r>
      <w:r>
        <w:rPr>
          <w:i/>
        </w:rPr>
        <w:t xml:space="preserve">Pesachim</w:t>
      </w:r>
      <w:r>
        <w:rPr/>
        <w:t xml:space="preserve">, 66 </w:t>
      </w:r>
      <w:r>
        <w:rPr>
          <w:i/>
        </w:rPr>
        <w:t xml:space="preserve">a</w:t>
      </w:r>
      <w:r>
        <w:rPr/>
        <w:t xml:space="preserve"> ; </w:t>
      </w:r>
      <w:r>
        <w:rPr>
          <w:i/>
        </w:rPr>
        <w:t xml:space="preserve">Schabbath</w:t>
      </w:r>
      <w:r>
        <w:rPr/>
        <w:t xml:space="preserve">, 30 </w:t>
      </w:r>
      <w:r>
        <w:rPr>
          <w:i/>
        </w:rPr>
        <w:t xml:space="preserve">b</w:t>
      </w:r>
      <w:r>
        <w:rPr/>
        <w:t xml:space="preserve"> et 31 </w:t>
      </w:r>
      <w:r>
        <w:rPr>
          <w:i/>
        </w:rPr>
        <w:t xml:space="preserve">a</w:t>
      </w:r>
      <w:r>
        <w:rPr/>
        <w:t xml:space="preserve"> ; </w:t>
      </w:r>
      <w:r>
        <w:rPr>
          <w:i/>
        </w:rPr>
        <w:t xml:space="preserve">Joma</w:t>
      </w:r>
      <w:r>
        <w:rPr/>
        <w:t xml:space="preserve">, 35 </w:t>
      </w:r>
      <w:r>
        <w:rPr>
          <w:i/>
        </w:rPr>
        <w:t xml:space="preserve">b</w:t>
      </w:r>
      <w:r>
        <w:rPr/>
        <w:t xml:space="preserve">.</w:t>
      </w:r>
    </w:p>
  </w:footnote>
  <w:footnote w:id="138">
    <w:p>
      <w:pPr>
        <w:pStyle w:val="Notedebasdepage"/>
      </w:pPr>
      <w:r>
        <w:rPr>
          <w:rStyle w:val="Appelnotedebasdep"/>
        </w:rPr>
        <w:footnoteRef/>
        <w:t xml:space="preserve"> </w:t>
      </w:r>
      <w:r>
        <w:rPr/>
        <w:t xml:space="preserve"> La légende de Daniel était déjà formée au VII</w:t>
      </w:r>
      <w:r>
        <w:rPr>
          <w:vertAlign w:val="superscript"/>
        </w:rPr>
        <w:t>e</w:t>
      </w:r>
      <w:r>
        <w:rPr/>
        <w:t xml:space="preserve"> siècle avant J.-C. (Ézéchiel, XIV, 14 et suiv. ; XXVIII, 3). C’est pour les besoins de la légende qu’on l’a fait vivre au temps de la captivité de Babylone.</w:t>
      </w:r>
    </w:p>
  </w:footnote>
  <w:footnote w:id="139">
    <w:p>
      <w:pPr>
        <w:pStyle w:val="Notedebasdepage"/>
      </w:pPr>
      <w:r>
        <w:rPr>
          <w:rStyle w:val="Appelnotedebasdep"/>
        </w:rPr>
        <w:footnoteRef/>
        <w:t xml:space="preserve"> </w:t>
      </w:r>
      <w:r>
        <w:rPr>
          <w:i/>
        </w:rPr>
        <w:t xml:space="preserve">Epist. Judæ</w:t>
      </w:r>
      <w:r>
        <w:rPr/>
        <w:t xml:space="preserve">, 14 et suiv. ; II Petri, II, 4, 11 ; </w:t>
      </w:r>
      <w:r>
        <w:rPr>
          <w:i/>
        </w:rPr>
        <w:t xml:space="preserve">Testam. des douze Patr</w:t>
      </w:r>
      <w:r>
        <w:rPr/>
        <w:t xml:space="preserve">., Siméon, 5 ; Lévi, 14, 16 ; Juda, 18 ; Zab. 3 ; Dan, 5 ; Nephtali, 4. Le « Livre d’Hénoch » forme encore une partie intégrante de la Bible éthiopienne. Tel que nous le connaissons par la version éthiopienne, il est composé de pièces de différentes dates, dont les plus anciennes sont de l’an 130 ou 150 avant J.-C. Quelques-unes de ces pièces ont de l’analogie avec les discours de Jésus. Comparez les ch. XCVI-XCIX à Luc, VI, 24 et suiv.</w:t>
      </w:r>
    </w:p>
  </w:footnote>
  <w:footnote w:id="140">
    <w:p>
      <w:pPr>
        <w:pStyle w:val="Notedebasdepage"/>
      </w:pPr>
      <w:r>
        <w:rPr>
          <w:rStyle w:val="Appelnotedebasdep"/>
        </w:rPr>
        <w:footnoteRef/>
        <w:t xml:space="preserve"> </w:t>
      </w:r>
      <w:r>
        <w:rPr/>
        <w:t xml:space="preserve">Matth., XI, 8.</w:t>
      </w:r>
    </w:p>
  </w:footnote>
  <w:footnote w:id="141">
    <w:p>
      <w:pPr>
        <w:pStyle w:val="Notedebasdepage"/>
      </w:pPr>
      <w:r>
        <w:rPr>
          <w:rStyle w:val="Appelnotedebasdep"/>
        </w:rPr>
        <w:footnoteRef/>
        <w:t xml:space="preserve"> </w:t>
      </w:r>
      <w:r>
        <w:rPr/>
        <w:t xml:space="preserve">Voir, par exemple, Matth., XXII, 2 et suiv.</w:t>
      </w:r>
    </w:p>
  </w:footnote>
  <w:footnote w:id="142">
    <w:p>
      <w:pPr>
        <w:pStyle w:val="Notedebasdepage"/>
      </w:pPr>
      <w:r>
        <w:rPr>
          <w:rStyle w:val="Appelnotedebasdep"/>
        </w:rPr>
        <w:footnoteRef/>
        <w:t xml:space="preserve"> </w:t>
      </w:r>
      <w:r>
        <w:rPr/>
        <w:t xml:space="preserve">Matth., VI, 13.</w:t>
      </w:r>
    </w:p>
  </w:footnote>
  <w:footnote w:id="143">
    <w:p>
      <w:pPr>
        <w:pStyle w:val="Notedebasdepage"/>
      </w:pPr>
      <w:r>
        <w:rPr>
          <w:rStyle w:val="Appelnotedebasdep"/>
        </w:rPr>
        <w:footnoteRef/>
        <w:t xml:space="preserve"> </w:t>
      </w:r>
      <w:r>
        <w:rPr/>
        <w:t xml:space="preserve">Luc, II, 42 et suiv. Les évangiles apocryphes sont pleins de pareilles histoires poussées au grotesque.</w:t>
      </w:r>
    </w:p>
  </w:footnote>
  <w:footnote w:id="144">
    <w:p>
      <w:pPr>
        <w:pStyle w:val="Notedebasdepage"/>
      </w:pPr>
      <w:r>
        <w:rPr>
          <w:rStyle w:val="Appelnotedebasdep"/>
        </w:rPr>
        <w:footnoteRef/>
        <w:t xml:space="preserve"> </w:t>
      </w:r>
      <w:r>
        <w:rPr/>
        <w:t xml:space="preserve">Matth., XIII, 57 ; Marc, VI, 4 ; Jean, VII, 3 et suiv. Voyez ci-dessous, p. 153, note 6.</w:t>
      </w:r>
    </w:p>
  </w:footnote>
  <w:footnote w:id="145">
    <w:p>
      <w:pPr>
        <w:pStyle w:val="Notedebasdepage"/>
      </w:pPr>
      <w:r>
        <w:rPr>
          <w:rStyle w:val="Appelnotedebasdep"/>
        </w:rPr>
        <w:footnoteRef/>
        <w:t xml:space="preserve"> </w:t>
      </w:r>
      <w:r>
        <w:rPr/>
        <w:t xml:space="preserve"> Matth., XII, 48 ; Marc, III, 33 ; Luc, VIII, 21 ; Jean, II, 4 ; Évang. selon les Hébreux, dans saint Jérôme, </w:t>
      </w:r>
      <w:r>
        <w:rPr>
          <w:i/>
        </w:rPr>
        <w:t xml:space="preserve">Dial. adv. Pelag</w:t>
      </w:r>
      <w:r>
        <w:rPr/>
        <w:t xml:space="preserve">., III, 2.</w:t>
      </w:r>
    </w:p>
  </w:footnote>
  <w:footnote w:id="146">
    <w:p>
      <w:pPr>
        <w:pStyle w:val="Notedebasdepage"/>
      </w:pPr>
      <w:r>
        <w:rPr>
          <w:rStyle w:val="Appelnotedebasdep"/>
        </w:rPr>
        <w:footnoteRef/>
        <w:t xml:space="preserve"> </w:t>
      </w:r>
      <w:r>
        <w:rPr/>
        <w:t xml:space="preserve">Luc, XI, 27 et suiv.</w:t>
      </w:r>
    </w:p>
  </w:footnote>
  <w:footnote w:id="147">
    <w:p>
      <w:pPr>
        <w:pStyle w:val="Notedebasdepage"/>
      </w:pPr>
      <w:r>
        <w:rPr>
          <w:rStyle w:val="Appelnotedebasdep"/>
        </w:rPr>
        <w:footnoteRef/>
        <w:t xml:space="preserve"> </w:t>
      </w:r>
      <w:r>
        <w:rPr/>
        <w:t xml:space="preserve"> Yaçna, XIII, 24 ; Théopompe, dans Plut., De Iside et Osiride, § 47 ; Minokhired, passage publié dans la Zeitschrift der deutschen morgenlændischen Gesellschaft, I, p. 263.</w:t>
      </w:r>
    </w:p>
  </w:footnote>
  <w:footnote w:id="148">
    <w:p>
      <w:pPr>
        <w:pStyle w:val="Notedebasdepage"/>
      </w:pPr>
      <w:r>
        <w:rPr>
          <w:rStyle w:val="Appelnotedebasdep"/>
        </w:rPr>
        <w:footnoteRef/>
        <w:t xml:space="preserve"> </w:t>
      </w:r>
      <w:r>
        <w:rPr/>
        <w:t xml:space="preserve">Virg., Égl. IV ; Servius, sur le v. 4 de cette églogue ; Nigidius, cité par Servius, sur le v. 10.</w:t>
      </w:r>
    </w:p>
  </w:footnote>
  <w:footnote w:id="149">
    <w:p>
      <w:pPr>
        <w:pStyle w:val="Notedebasdepage"/>
      </w:pPr>
      <w:r>
        <w:rPr>
          <w:rStyle w:val="Appelnotedebasdep"/>
        </w:rPr>
        <w:footnoteRef/>
        <w:t xml:space="preserve"> </w:t>
      </w:r>
      <w:r>
        <w:rPr/>
        <w:t xml:space="preserve">Livre III, 97-817</w:t>
      </w:r>
    </w:p>
  </w:footnote>
  <w:footnote w:id="150">
    <w:p>
      <w:pPr>
        <w:pStyle w:val="Notedebasdepage"/>
      </w:pPr>
      <w:r>
        <w:rPr>
          <w:rStyle w:val="Appelnotedebasdep"/>
        </w:rPr>
        <w:footnoteRef/>
        <w:t xml:space="preserve"> </w:t>
      </w:r>
      <w:r>
        <w:rPr/>
        <w:t xml:space="preserve">VI, 13 ; VII, 10 ; VIII, 7, 11-17 ; IX, 1-22 ; et dans les parties apocryphes : IX, 10-11 ; XIV, 13 et suiv. ; XVI, 20, 24.</w:t>
      </w:r>
    </w:p>
  </w:footnote>
  <w:footnote w:id="151">
    <w:p>
      <w:pPr>
        <w:pStyle w:val="Notedebasdepage"/>
      </w:pPr>
      <w:r>
        <w:rPr>
          <w:rStyle w:val="Appelnotedebasdep"/>
        </w:rPr>
        <w:footnoteRef/>
        <w:t xml:space="preserve"> </w:t>
      </w:r>
      <w:r>
        <w:rPr/>
        <w:t xml:space="preserve">Eccl., I, 11 ; II, 16, 18-24 ; III, 19-22 ; IV, 8, 15-16 ; V, 17-18 ; VI, 3, 6 ; VIII, 15 ; IX, 9, 10.</w:t>
      </w:r>
    </w:p>
  </w:footnote>
  <w:footnote w:id="152">
    <w:p>
      <w:pPr>
        <w:pStyle w:val="Notedebasdepage"/>
      </w:pPr>
      <w:r>
        <w:rPr>
          <w:rStyle w:val="Appelnotedebasdep"/>
        </w:rPr>
        <w:footnoteRef/>
        <w:t xml:space="preserve"> </w:t>
      </w:r>
      <w:r>
        <w:rPr/>
        <w:t xml:space="preserve">Isaïe, LX, etc.</w:t>
      </w:r>
    </w:p>
  </w:footnote>
  <w:footnote w:id="153">
    <w:p>
      <w:pPr>
        <w:pStyle w:val="Notedebasdepage"/>
      </w:pPr>
      <w:r>
        <w:rPr>
          <w:rStyle w:val="Appelnotedebasdep"/>
        </w:rPr>
        <w:footnoteRef/>
        <w:t xml:space="preserve"> </w:t>
      </w:r>
      <w:r>
        <w:rPr/>
        <w:t xml:space="preserve">Tout le livre d’Esther respire un grand attachement à cette dynastie.</w:t>
      </w:r>
    </w:p>
  </w:footnote>
  <w:footnote w:id="154">
    <w:p>
      <w:pPr>
        <w:pStyle w:val="Notedebasdepage"/>
      </w:pPr>
      <w:r>
        <w:rPr>
          <w:rStyle w:val="Appelnotedebasdep"/>
        </w:rPr>
        <w:footnoteRef/>
        <w:t xml:space="preserve"> </w:t>
      </w:r>
      <w:r>
        <w:rPr/>
        <w:t xml:space="preserve"> Lettre apocryphe de Baruch, dans Fabricius, </w:t>
      </w:r>
      <w:r>
        <w:rPr>
          <w:i/>
        </w:rPr>
        <w:t xml:space="preserve">Cod. pseud. V.T., II</w:t>
      </w:r>
      <w:r>
        <w:rPr/>
        <w:t xml:space="preserve">, p. 147 et suiv.</w:t>
      </w:r>
    </w:p>
  </w:footnote>
  <w:footnote w:id="155">
    <w:p>
      <w:pPr>
        <w:pStyle w:val="Notedebasdepage"/>
      </w:pPr>
      <w:r>
        <w:rPr>
          <w:rStyle w:val="Appelnotedebasdep"/>
        </w:rPr>
        <w:footnoteRef/>
        <w:t xml:space="preserve"> </w:t>
      </w:r>
      <w:r>
        <w:rPr/>
        <w:t xml:space="preserve">Job, XXXIII, 9.</w:t>
      </w:r>
    </w:p>
  </w:footnote>
  <w:footnote w:id="156">
    <w:p>
      <w:pPr>
        <w:pStyle w:val="Notedebasdepage"/>
      </w:pPr>
      <w:r>
        <w:rPr>
          <w:rStyle w:val="Appelnotedebasdep"/>
        </w:rPr>
        <w:footnoteRef/>
        <w:t xml:space="preserve"> </w:t>
      </w:r>
      <w:r>
        <w:rPr/>
        <w:t xml:space="preserve"> Il est cependant remarquable que Jésus, fils de Sirach, s’y tient strictement (XVII, 26-28 ; XXII, 10-11 ; XXX, 4 et suiv. ; XLI, 1-2 ; XLIV, 9). L’auteur de la </w:t>
      </w:r>
      <w:r>
        <w:rPr>
          <w:i/>
        </w:rPr>
        <w:t xml:space="preserve">Sagesse</w:t>
      </w:r>
      <w:r>
        <w:rPr/>
        <w:t xml:space="preserve"> est d’un sentiment tout opposé (IV, I, texte grec).</w:t>
      </w:r>
    </w:p>
  </w:footnote>
  <w:footnote w:id="157">
    <w:p>
      <w:pPr>
        <w:pStyle w:val="Notedebasdepage"/>
      </w:pPr>
      <w:r>
        <w:rPr>
          <w:rStyle w:val="Appelnotedebasdep"/>
        </w:rPr>
        <w:footnoteRef/>
        <w:t xml:space="preserve"> </w:t>
      </w:r>
      <w:r>
        <w:rPr>
          <w:i/>
        </w:rPr>
        <w:t xml:space="preserve">Esth.</w:t>
      </w:r>
      <w:r>
        <w:rPr/>
        <w:t xml:space="preserve"> XIV, 6-7 (apocr.) ; Épître apocryphe de Baruch (Fabricius, </w:t>
      </w:r>
      <w:r>
        <w:rPr>
          <w:i/>
        </w:rPr>
        <w:t xml:space="preserve">Cod. pseud. V.T.</w:t>
      </w:r>
      <w:r>
        <w:rPr/>
        <w:t xml:space="preserve"> II, p. 147 et suiv.).</w:t>
      </w:r>
    </w:p>
  </w:footnote>
  <w:footnote w:id="158">
    <w:p>
      <w:pPr>
        <w:pStyle w:val="Notedebasdepage"/>
      </w:pPr>
      <w:r>
        <w:rPr>
          <w:rStyle w:val="Appelnotedebasdep"/>
        </w:rPr>
        <w:footnoteRef/>
        <w:t xml:space="preserve"> </w:t>
      </w:r>
      <w:r>
        <w:rPr>
          <w:i/>
        </w:rPr>
        <w:t xml:space="preserve">II Macch.</w:t>
      </w:r>
      <w:r>
        <w:rPr/>
        <w:t xml:space="preserve">, VII.</w:t>
      </w:r>
    </w:p>
  </w:footnote>
  <w:footnote w:id="159">
    <w:p>
      <w:pPr>
        <w:pStyle w:val="Notedebasdepage"/>
      </w:pPr>
      <w:r>
        <w:rPr>
          <w:rStyle w:val="Appelnotedebasdep"/>
        </w:rPr>
        <w:footnoteRef/>
        <w:t xml:space="preserve"> </w:t>
      </w:r>
      <w:r>
        <w:rPr>
          <w:i/>
        </w:rPr>
        <w:t xml:space="preserve">Pirké Aboth</w:t>
      </w:r>
      <w:r>
        <w:rPr/>
        <w:t xml:space="preserve">, I, 3.</w:t>
      </w:r>
    </w:p>
  </w:footnote>
  <w:footnote w:id="160">
    <w:p>
      <w:pPr>
        <w:pStyle w:val="Notedebasdepage"/>
      </w:pPr>
      <w:r>
        <w:rPr>
          <w:rStyle w:val="Appelnotedebasdep"/>
        </w:rPr>
        <w:footnoteRef/>
        <w:t xml:space="preserve"> </w:t>
      </w:r>
      <w:r>
        <w:rPr>
          <w:i/>
        </w:rPr>
        <w:t xml:space="preserve">Sagesse</w:t>
      </w:r>
      <w:r>
        <w:rPr/>
        <w:t xml:space="preserve">, ch. II-VI ; </w:t>
      </w:r>
      <w:r>
        <w:rPr>
          <w:i/>
        </w:rPr>
        <w:t xml:space="preserve">De rationis imperio</w:t>
      </w:r>
      <w:r>
        <w:rPr/>
        <w:t xml:space="preserve">, attribué à Josèphe, 8, 13, 16, 18. Encore faut-il remarquer que l’auteur de ce dernier traité ne fait valoir qu’en seconde ligne le motif de rémunération personnelle. Le principal mobile des martyrs est l’amour pur de la Loi, l’avantage que leur mort procurera au peuple et la gloire qui s’attachera à leur nom. Comp. </w:t>
      </w:r>
      <w:r>
        <w:rPr>
          <w:i/>
        </w:rPr>
        <w:t xml:space="preserve">Sagesse</w:t>
      </w:r>
      <w:r>
        <w:rPr/>
        <w:t xml:space="preserve">, IV, 4 et suiv. ; </w:t>
      </w:r>
      <w:r>
        <w:rPr>
          <w:i/>
        </w:rPr>
        <w:t xml:space="preserve">Eccli.</w:t>
      </w:r>
      <w:r>
        <w:rPr/>
        <w:t xml:space="preserve">, ch. XLIV et suiv. ; Jos. </w:t>
      </w:r>
      <w:r>
        <w:rPr>
          <w:i/>
        </w:rPr>
        <w:t xml:space="preserve">B.J.</w:t>
      </w:r>
      <w:r>
        <w:rPr/>
        <w:t xml:space="preserve">, II, VIII, 10 ; III, VIII, 5.</w:t>
      </w:r>
    </w:p>
  </w:footnote>
  <w:footnote w:id="161">
    <w:p>
      <w:pPr>
        <w:pStyle w:val="Notedebasdepage"/>
      </w:pPr>
      <w:r>
        <w:rPr>
          <w:rStyle w:val="Appelnotedebasdep"/>
        </w:rPr>
        <w:footnoteRef/>
        <w:t xml:space="preserve"> </w:t>
      </w:r>
      <w:r>
        <w:rPr>
          <w:i/>
        </w:rPr>
        <w:t xml:space="preserve">Sagesse</w:t>
      </w:r>
      <w:r>
        <w:rPr/>
        <w:t xml:space="preserve">, IV, I ; </w:t>
      </w:r>
      <w:r>
        <w:rPr>
          <w:i/>
        </w:rPr>
        <w:t xml:space="preserve">De rat. imp</w:t>
      </w:r>
      <w:r>
        <w:rPr/>
        <w:t xml:space="preserve">., 16, 18.</w:t>
      </w:r>
    </w:p>
  </w:footnote>
  <w:footnote w:id="162">
    <w:p>
      <w:pPr>
        <w:pStyle w:val="Notedebasdepage"/>
      </w:pPr>
      <w:r>
        <w:rPr>
          <w:rStyle w:val="Appelnotedebasdep"/>
        </w:rPr>
        <w:footnoteRef/>
        <w:t xml:space="preserve"> </w:t>
      </w:r>
      <w:r>
        <w:rPr>
          <w:i/>
        </w:rPr>
        <w:t xml:space="preserve">Il Macch.</w:t>
      </w:r>
      <w:r>
        <w:rPr/>
        <w:t xml:space="preserve">, VII, 9, 14 ; XII, 43-44.</w:t>
      </w:r>
    </w:p>
  </w:footnote>
  <w:footnote w:id="163">
    <w:p>
      <w:pPr>
        <w:pStyle w:val="Notedebasdepage"/>
      </w:pPr>
      <w:r>
        <w:rPr>
          <w:rStyle w:val="Appelnotedebasdep"/>
        </w:rPr>
        <w:footnoteRef/>
        <w:t xml:space="preserve"> </w:t>
      </w:r>
      <w:r>
        <w:rPr/>
        <w:t xml:space="preserve"> Théopompe, dans Diog. Laert., Prooem., 9  </w:t>
      </w:r>
      <w:r>
        <w:rPr>
          <w:i/>
        </w:rPr>
        <w:t xml:space="preserve">Boundehesch</w:t>
      </w:r>
      <w:r>
        <w:rPr/>
        <w:t xml:space="preserve">, C. XXXI. Les traces du dogme de la résurrection dans l’Avesta sont fort douteuses.</w:t>
      </w:r>
    </w:p>
  </w:footnote>
  <w:footnote w:id="164">
    <w:p>
      <w:pPr>
        <w:pStyle w:val="Notedebasdepage"/>
      </w:pPr>
      <w:r>
        <w:rPr>
          <w:rStyle w:val="Appelnotedebasdep"/>
        </w:rPr>
        <w:footnoteRef/>
        <w:t xml:space="preserve"> </w:t>
      </w:r>
      <w:r>
        <w:rPr/>
        <w:t xml:space="preserve">Jean, XI, 24.</w:t>
      </w:r>
    </w:p>
  </w:footnote>
  <w:footnote w:id="165">
    <w:p>
      <w:pPr>
        <w:pStyle w:val="Notedebasdepage"/>
      </w:pPr>
      <w:r>
        <w:rPr>
          <w:rStyle w:val="Appelnotedebasdep"/>
        </w:rPr>
        <w:footnoteRef/>
        <w:t xml:space="preserve"> </w:t>
      </w:r>
      <w:r>
        <w:rPr/>
        <w:t xml:space="preserve"> Luc, XVI, 22. Cf. </w:t>
      </w:r>
      <w:r>
        <w:rPr>
          <w:i/>
        </w:rPr>
        <w:t xml:space="preserve">De rationis imp</w:t>
      </w:r>
      <w:r>
        <w:rPr/>
        <w:t xml:space="preserve">., 13, 16, 18.</w:t>
      </w:r>
    </w:p>
  </w:footnote>
  <w:footnote w:id="166">
    <w:p>
      <w:pPr>
        <w:pStyle w:val="Notedebasdepage"/>
      </w:pPr>
      <w:r>
        <w:rPr>
          <w:rStyle w:val="Appelnotedebasdep"/>
        </w:rPr>
        <w:footnoteRef/>
        <w:t xml:space="preserve"> </w:t>
      </w:r>
      <w:r>
        <w:rPr/>
        <w:t xml:space="preserve">Dan., XII, 2.</w:t>
      </w:r>
    </w:p>
  </w:footnote>
  <w:footnote w:id="167">
    <w:p>
      <w:pPr>
        <w:pStyle w:val="Notedebasdepage"/>
      </w:pPr>
      <w:r>
        <w:rPr>
          <w:rStyle w:val="Appelnotedebasdep"/>
        </w:rPr>
        <w:footnoteRef/>
        <w:t xml:space="preserve"> </w:t>
      </w:r>
      <w:r>
        <w:rPr>
          <w:i/>
        </w:rPr>
        <w:t xml:space="preserve">Il Macch.</w:t>
      </w:r>
      <w:r>
        <w:rPr/>
        <w:t xml:space="preserve"> VII, 14.</w:t>
      </w:r>
    </w:p>
  </w:footnote>
  <w:footnote w:id="168">
    <w:p>
      <w:pPr>
        <w:pStyle w:val="Notedebasdepage"/>
      </w:pPr>
      <w:r>
        <w:rPr>
          <w:rStyle w:val="Appelnotedebasdep"/>
        </w:rPr>
        <w:footnoteRef/>
        <w:t xml:space="preserve"> </w:t>
      </w:r>
      <w:r>
        <w:rPr/>
        <w:t xml:space="preserve"> Jos., </w:t>
      </w:r>
      <w:r>
        <w:rPr>
          <w:i/>
        </w:rPr>
        <w:t xml:space="preserve">Ant</w:t>
      </w:r>
      <w:r>
        <w:rPr/>
        <w:t xml:space="preserve">., XVIII, V, I ; VII, 4 et 2 ; Luc, III, 19.</w:t>
      </w:r>
    </w:p>
  </w:footnote>
  <w:footnote w:id="169">
    <w:p>
      <w:pPr>
        <w:pStyle w:val="Notedebasdepage"/>
      </w:pPr>
      <w:r>
        <w:rPr>
          <w:rStyle w:val="Appelnotedebasdep"/>
        </w:rPr>
        <w:footnoteRef/>
        <w:t xml:space="preserve"> </w:t>
      </w:r>
      <w:r>
        <w:rPr/>
        <w:t xml:space="preserve"> Jos., </w:t>
      </w:r>
      <w:r>
        <w:rPr>
          <w:i/>
        </w:rPr>
        <w:t xml:space="preserve">Ant</w:t>
      </w:r>
      <w:r>
        <w:rPr/>
        <w:t xml:space="preserve">., XVIII, II, 3 ; IV, 5 ; V, 4.</w:t>
      </w:r>
    </w:p>
  </w:footnote>
  <w:footnote w:id="170">
    <w:p>
      <w:pPr>
        <w:pStyle w:val="Notedebasdepage"/>
      </w:pPr>
      <w:r>
        <w:rPr>
          <w:rStyle w:val="Appelnotedebasdep"/>
        </w:rPr>
        <w:footnoteRef/>
        <w:t xml:space="preserve"> </w:t>
      </w:r>
      <w:r>
        <w:rPr>
          <w:i/>
        </w:rPr>
        <w:t xml:space="preserve">Ibid.</w:t>
      </w:r>
      <w:r>
        <w:rPr/>
        <w:t xml:space="preserve">, XVIII, VII, 2.</w:t>
      </w:r>
    </w:p>
  </w:footnote>
  <w:footnote w:id="171">
    <w:p>
      <w:pPr>
        <w:pStyle w:val="Notedebasdepage"/>
      </w:pPr>
      <w:r>
        <w:rPr>
          <w:rStyle w:val="Appelnotedebasdep"/>
        </w:rPr>
        <w:footnoteRef/>
        <w:t xml:space="preserve"> </w:t>
      </w:r>
      <w:r>
        <w:rPr>
          <w:i/>
        </w:rPr>
        <w:t xml:space="preserve">Ibid.</w:t>
      </w:r>
      <w:r>
        <w:rPr/>
        <w:t xml:space="preserve">, XVIII, IV, 6.</w:t>
      </w:r>
    </w:p>
  </w:footnote>
  <w:footnote w:id="172">
    <w:p>
      <w:pPr>
        <w:pStyle w:val="Notedebasdepage"/>
      </w:pPr>
      <w:r>
        <w:rPr>
          <w:rStyle w:val="Appelnotedebasdep"/>
        </w:rPr>
        <w:footnoteRef/>
        <w:t xml:space="preserve"> </w:t>
      </w:r>
      <w:r>
        <w:rPr>
          <w:i/>
        </w:rPr>
        <w:t xml:space="preserve">Ibid.</w:t>
      </w:r>
      <w:r>
        <w:rPr/>
        <w:t xml:space="preserve">, XVII, XII, 2, et </w:t>
      </w:r>
      <w:r>
        <w:rPr>
          <w:i/>
        </w:rPr>
        <w:t xml:space="preserve">B.J.</w:t>
      </w:r>
      <w:r>
        <w:rPr/>
        <w:t xml:space="preserve">, II, VII, 3.</w:t>
      </w:r>
    </w:p>
  </w:footnote>
  <w:footnote w:id="173">
    <w:p>
      <w:pPr>
        <w:pStyle w:val="Notedebasdepage"/>
      </w:pPr>
      <w:r>
        <w:rPr>
          <w:rStyle w:val="Appelnotedebasdep"/>
        </w:rPr>
        <w:footnoteRef/>
        <w:t xml:space="preserve"> </w:t>
      </w:r>
      <w:r>
        <w:rPr/>
        <w:t xml:space="preserve"> Orelli, </w:t>
      </w:r>
      <w:r>
        <w:rPr>
          <w:i/>
        </w:rPr>
        <w:t xml:space="preserve">Inscr. lat</w:t>
      </w:r>
      <w:r>
        <w:rPr/>
        <w:t xml:space="preserve">., n° 3693 ; Henzen, </w:t>
      </w:r>
      <w:r>
        <w:rPr>
          <w:i/>
        </w:rPr>
        <w:t xml:space="preserve">Suppl.</w:t>
      </w:r>
      <w:r>
        <w:rPr/>
        <w:t xml:space="preserve">, n° 7041 ; </w:t>
      </w:r>
      <w:r>
        <w:rPr>
          <w:i/>
        </w:rPr>
        <w:t xml:space="preserve">Fasti prænestini</w:t>
      </w:r>
      <w:r>
        <w:rPr/>
        <w:t xml:space="preserve">, au 6 mars et au 28 avril (dans le </w:t>
      </w:r>
      <w:r>
        <w:rPr>
          <w:i/>
        </w:rPr>
        <w:t xml:space="preserve">Corpus inscr, lat.</w:t>
      </w:r>
      <w:r>
        <w:rPr/>
        <w:t xml:space="preserve">, I, 314, 317) ; Borghesi, </w:t>
      </w:r>
      <w:r>
        <w:rPr>
          <w:i/>
        </w:rPr>
        <w:t xml:space="preserve">Fastes consulaires</w:t>
      </w:r>
      <w:r>
        <w:rPr/>
        <w:t xml:space="preserve"> [encore inédits], à l’année 742 ; R. Bergmann, </w:t>
      </w:r>
      <w:r>
        <w:rPr>
          <w:i/>
        </w:rPr>
        <w:t xml:space="preserve">De inscr. lat. ad P.S. Quirinium, ut videtur, referenda</w:t>
      </w:r>
      <w:r>
        <w:rPr/>
        <w:t xml:space="preserve"> (Berlin, 1851). Cf. Tac., </w:t>
      </w:r>
      <w:r>
        <w:rPr>
          <w:i/>
        </w:rPr>
        <w:t xml:space="preserve">Ann</w:t>
      </w:r>
      <w:r>
        <w:rPr/>
        <w:t xml:space="preserve">., II, 30 ; III, 48 ; Strabon, XII, </w:t>
      </w:r>
      <w:r>
        <w:rPr/>
        <w:t xml:space="preserve">vi</w:t>
      </w:r>
      <w:r>
        <w:rPr/>
        <w:t xml:space="preserve">, 5.</w:t>
      </w:r>
    </w:p>
  </w:footnote>
  <w:footnote w:id="174">
    <w:p>
      <w:pPr>
        <w:pStyle w:val="Notedebasdepage"/>
      </w:pPr>
      <w:r>
        <w:rPr>
          <w:rStyle w:val="Appelnotedebasdep"/>
        </w:rPr>
        <w:footnoteRef/>
        <w:t xml:space="preserve"> </w:t>
      </w:r>
      <w:r>
        <w:rPr/>
        <w:t xml:space="preserve"> Jos., </w:t>
      </w:r>
      <w:r>
        <w:rPr>
          <w:i/>
        </w:rPr>
        <w:t xml:space="preserve">Ant</w:t>
      </w:r>
      <w:r>
        <w:rPr/>
        <w:t xml:space="preserve">., XVIII.</w:t>
      </w:r>
    </w:p>
  </w:footnote>
  <w:footnote w:id="175">
    <w:p>
      <w:pPr>
        <w:pStyle w:val="Notedebasdepage"/>
      </w:pPr>
      <w:r>
        <w:rPr>
          <w:rStyle w:val="Appelnotedebasdep"/>
        </w:rPr>
        <w:footnoteRef/>
        <w:t xml:space="preserve"> </w:t>
      </w:r>
      <w:r>
        <w:rPr/>
        <w:t xml:space="preserve"> Jos., </w:t>
      </w:r>
      <w:r>
        <w:rPr>
          <w:i/>
        </w:rPr>
        <w:t xml:space="preserve">Ant.</w:t>
      </w:r>
      <w:r>
        <w:rPr/>
        <w:t xml:space="preserve"> les livres XVII et XVIII entiers, et </w:t>
      </w:r>
      <w:r>
        <w:rPr>
          <w:i/>
        </w:rPr>
        <w:t xml:space="preserve">B. J</w:t>
      </w:r>
      <w:r>
        <w:rPr/>
        <w:t xml:space="preserve">., liv. I et II.</w:t>
      </w:r>
    </w:p>
  </w:footnote>
  <w:footnote w:id="176">
    <w:p>
      <w:pPr>
        <w:pStyle w:val="Notedebasdepage"/>
      </w:pPr>
      <w:r>
        <w:rPr>
          <w:rStyle w:val="Appelnotedebasdep"/>
        </w:rPr>
        <w:footnoteRef/>
        <w:t xml:space="preserve"> </w:t>
      </w:r>
      <w:r>
        <w:rPr/>
        <w:t xml:space="preserve"> Jos., </w:t>
      </w:r>
      <w:r>
        <w:rPr>
          <w:i/>
        </w:rPr>
        <w:t xml:space="preserve">Ant</w:t>
      </w:r>
      <w:r>
        <w:rPr/>
        <w:t xml:space="preserve">., XV, </w:t>
      </w:r>
      <w:r>
        <w:rPr/>
        <w:t xml:space="preserve">x</w:t>
      </w:r>
      <w:r>
        <w:rPr/>
        <w:t xml:space="preserve">, 4. Comp. Livre d’Hénoch, XCVII, 13-14.</w:t>
      </w:r>
    </w:p>
  </w:footnote>
  <w:footnote w:id="177">
    <w:p>
      <w:pPr>
        <w:pStyle w:val="Notedebasdepage"/>
      </w:pPr>
      <w:r>
        <w:rPr>
          <w:rStyle w:val="Appelnotedebasdep"/>
        </w:rPr>
        <w:footnoteRef/>
        <w:t xml:space="preserve"> </w:t>
      </w:r>
      <w:r>
        <w:rPr/>
        <w:t xml:space="preserve"> Philon, </w:t>
      </w:r>
      <w:r>
        <w:rPr>
          <w:i/>
        </w:rPr>
        <w:t xml:space="preserve">Leg. ad Caïum</w:t>
      </w:r>
      <w:r>
        <w:rPr/>
        <w:t xml:space="preserve">, § 38.</w:t>
      </w:r>
    </w:p>
  </w:footnote>
  <w:footnote w:id="178">
    <w:p>
      <w:pPr>
        <w:pStyle w:val="Notedebasdepage"/>
      </w:pPr>
      <w:r>
        <w:rPr>
          <w:rStyle w:val="Appelnotedebasdep"/>
        </w:rPr>
        <w:footnoteRef/>
        <w:t xml:space="preserve"> </w:t>
      </w:r>
      <w:r>
        <w:rPr/>
        <w:t xml:space="preserve"> Jos., </w:t>
      </w:r>
      <w:r>
        <w:rPr>
          <w:i/>
        </w:rPr>
        <w:t xml:space="preserve">Ant</w:t>
      </w:r>
      <w:r>
        <w:rPr/>
        <w:t xml:space="preserve">., XVII, </w:t>
      </w:r>
      <w:r>
        <w:rPr/>
        <w:t xml:space="preserve">vi</w:t>
      </w:r>
      <w:r>
        <w:rPr/>
        <w:t xml:space="preserve">, 2 et suiv. </w:t>
      </w:r>
      <w:r>
        <w:rPr>
          <w:i/>
        </w:rPr>
        <w:t xml:space="preserve">B. J</w:t>
      </w:r>
      <w:r>
        <w:rPr/>
        <w:t xml:space="preserve">., I, </w:t>
      </w:r>
      <w:r>
        <w:rPr/>
        <w:t xml:space="preserve">xxxiii</w:t>
      </w:r>
      <w:r>
        <w:rPr/>
        <w:t xml:space="preserve">, 3 et suiv.</w:t>
      </w:r>
    </w:p>
  </w:footnote>
  <w:footnote w:id="179">
    <w:p>
      <w:pPr>
        <w:pStyle w:val="Notedebasdepage"/>
      </w:pPr>
      <w:r>
        <w:rPr>
          <w:rStyle w:val="Appelnotedebasdep"/>
        </w:rPr>
        <w:footnoteRef/>
        <w:t xml:space="preserve"> </w:t>
      </w:r>
      <w:r>
        <w:rPr/>
        <w:t xml:space="preserve"> Jos., </w:t>
      </w:r>
      <w:r>
        <w:rPr>
          <w:i/>
        </w:rPr>
        <w:t xml:space="preserve">Ant</w:t>
      </w:r>
      <w:r>
        <w:rPr/>
        <w:t xml:space="preserve">., XVIII, IV, 1 et suiv.</w:t>
      </w:r>
    </w:p>
  </w:footnote>
  <w:footnote w:id="180">
    <w:p>
      <w:pPr>
        <w:pStyle w:val="Notedebasdepage"/>
      </w:pPr>
      <w:r>
        <w:rPr>
          <w:rStyle w:val="Appelnotedebasdep"/>
        </w:rPr>
        <w:footnoteRef/>
        <w:t xml:space="preserve"> </w:t>
      </w:r>
      <w:r>
        <w:rPr/>
        <w:t xml:space="preserve"> Mischna, </w:t>
      </w:r>
      <w:r>
        <w:rPr>
          <w:i/>
        </w:rPr>
        <w:t xml:space="preserve">Sanhédrin</w:t>
      </w:r>
      <w:r>
        <w:rPr/>
        <w:t xml:space="preserve">, IX, 6 ; Jean, XVI, 2 ; Jos., </w:t>
      </w:r>
      <w:r>
        <w:rPr>
          <w:i/>
        </w:rPr>
        <w:t xml:space="preserve">B. J</w:t>
      </w:r>
      <w:r>
        <w:rPr/>
        <w:t xml:space="preserve">., livre IV et suiv.</w:t>
      </w:r>
    </w:p>
  </w:footnote>
  <w:footnote w:id="181">
    <w:p>
      <w:pPr>
        <w:pStyle w:val="Notedebasdepage"/>
      </w:pPr>
      <w:r>
        <w:rPr>
          <w:rStyle w:val="Appelnotedebasdep"/>
        </w:rPr>
        <w:footnoteRef/>
        <w:t xml:space="preserve"> </w:t>
      </w:r>
      <w:r>
        <w:rPr>
          <w:i/>
        </w:rPr>
        <w:t xml:space="preserve">Act</w:t>
      </w:r>
      <w:r>
        <w:rPr/>
        <w:t xml:space="preserve">., VIII, 9. Le verset 11 laisse supposer que Simon le Magicien était déjà célèbre au temps de Jésus.</w:t>
      </w:r>
    </w:p>
  </w:footnote>
  <w:footnote w:id="182">
    <w:p>
      <w:pPr>
        <w:pStyle w:val="Notedebasdepage"/>
      </w:pPr>
      <w:r>
        <w:rPr>
          <w:rStyle w:val="Appelnotedebasdep"/>
        </w:rPr>
        <w:footnoteRef/>
        <w:t xml:space="preserve"> </w:t>
      </w:r>
      <w:r>
        <w:rPr/>
        <w:t xml:space="preserve"> Discours de Claude, à Lyon, tab. II, sub fin. De Boissieu, </w:t>
      </w:r>
      <w:r>
        <w:rPr>
          <w:i/>
        </w:rPr>
        <w:t xml:space="preserve">Inscr. ant. de Lyon</w:t>
      </w:r>
      <w:r>
        <w:rPr/>
        <w:t xml:space="preserve">, p. 136.</w:t>
      </w:r>
    </w:p>
  </w:footnote>
  <w:footnote w:id="183">
    <w:p>
      <w:pPr>
        <w:pStyle w:val="Notedebasdepage"/>
      </w:pPr>
      <w:r>
        <w:rPr>
          <w:rStyle w:val="Appelnotedebasdep"/>
        </w:rPr>
        <w:footnoteRef/>
        <w:t xml:space="preserve"> </w:t>
      </w:r>
      <w:r>
        <w:rPr/>
        <w:t xml:space="preserve">II Sam., XXIV.</w:t>
      </w:r>
    </w:p>
  </w:footnote>
  <w:footnote w:id="184">
    <w:p>
      <w:pPr>
        <w:pStyle w:val="Notedebasdepage"/>
      </w:pPr>
      <w:r>
        <w:rPr>
          <w:rStyle w:val="Appelnotedebasdep"/>
        </w:rPr>
        <w:footnoteRef/>
        <w:t xml:space="preserve"> </w:t>
      </w:r>
      <w:r>
        <w:rPr/>
        <w:t xml:space="preserve"> Talmud de Babylone, </w:t>
      </w:r>
      <w:r>
        <w:rPr>
          <w:i/>
        </w:rPr>
        <w:t xml:space="preserve">Baba Kama</w:t>
      </w:r>
      <w:r>
        <w:rPr/>
        <w:t xml:space="preserve">, 113 </w:t>
      </w:r>
      <w:r>
        <w:rPr>
          <w:i/>
        </w:rPr>
        <w:t xml:space="preserve">a ; Schabbath</w:t>
      </w:r>
      <w:r>
        <w:rPr/>
        <w:t xml:space="preserve">, 33 </w:t>
      </w:r>
      <w:r>
        <w:rPr>
          <w:i/>
        </w:rPr>
        <w:t xml:space="preserve">b</w:t>
      </w:r>
      <w:r>
        <w:rPr/>
        <w:t xml:space="preserve">.</w:t>
      </w:r>
    </w:p>
  </w:footnote>
  <w:footnote w:id="185">
    <w:p>
      <w:pPr>
        <w:pStyle w:val="Notedebasdepage"/>
      </w:pPr>
      <w:r>
        <w:rPr>
          <w:rStyle w:val="Appelnotedebasdep"/>
        </w:rPr>
        <w:footnoteRef/>
        <w:t xml:space="preserve"> </w:t>
      </w:r>
      <w:r>
        <w:rPr/>
        <w:t xml:space="preserve"> Jos., </w:t>
      </w:r>
      <w:r>
        <w:rPr>
          <w:i/>
        </w:rPr>
        <w:t xml:space="preserve">Ant</w:t>
      </w:r>
      <w:r>
        <w:rPr/>
        <w:t xml:space="preserve">., XVIII, </w:t>
      </w:r>
      <w:r>
        <w:rPr/>
        <w:t xml:space="preserve">i</w:t>
      </w:r>
      <w:r>
        <w:rPr/>
        <w:t xml:space="preserve">, I et 6 ; </w:t>
      </w:r>
      <w:r>
        <w:rPr>
          <w:i/>
        </w:rPr>
        <w:t xml:space="preserve">B. J</w:t>
      </w:r>
      <w:r>
        <w:rPr/>
        <w:t xml:space="preserve">., II, </w:t>
      </w:r>
      <w:r>
        <w:rPr/>
        <w:t xml:space="preserve">vii</w:t>
      </w:r>
      <w:r>
        <w:rPr/>
        <w:t xml:space="preserve">, I ; </w:t>
      </w:r>
      <w:r>
        <w:rPr>
          <w:i/>
        </w:rPr>
        <w:t xml:space="preserve">Act</w:t>
      </w:r>
      <w:r>
        <w:rPr/>
        <w:t xml:space="preserve">., V, 37. Avant Juda le Gaulonite, les </w:t>
      </w:r>
      <w:r>
        <w:rPr>
          <w:i/>
        </w:rPr>
        <w:t xml:space="preserve">Actes</w:t>
      </w:r>
      <w:r>
        <w:rPr/>
        <w:t xml:space="preserve"> placent un autre agitateur, Theudas ; mais c’est là un anachronisme : le mouvement de Theudas eut lieu l’an 44 de l’ère chrétienne (Jos., </w:t>
      </w:r>
      <w:r>
        <w:rPr>
          <w:i/>
        </w:rPr>
        <w:t xml:space="preserve">Ant</w:t>
      </w:r>
      <w:r>
        <w:rPr/>
        <w:t xml:space="preserve">., XX, v, 4).</w:t>
      </w:r>
    </w:p>
  </w:footnote>
  <w:footnote w:id="186">
    <w:p>
      <w:pPr>
        <w:pStyle w:val="Notedebasdepage"/>
      </w:pPr>
      <w:r>
        <w:rPr>
          <w:rStyle w:val="Appelnotedebasdep"/>
        </w:rPr>
        <w:footnoteRef/>
        <w:t xml:space="preserve"> </w:t>
      </w:r>
      <w:r>
        <w:rPr/>
        <w:t xml:space="preserve"> Jos., </w:t>
      </w:r>
      <w:r>
        <w:rPr>
          <w:i/>
        </w:rPr>
        <w:t xml:space="preserve">B.J.</w:t>
      </w:r>
      <w:r>
        <w:rPr/>
        <w:t xml:space="preserve">, II, </w:t>
      </w:r>
      <w:r>
        <w:rPr/>
        <w:t xml:space="preserve">xvii</w:t>
      </w:r>
      <w:r>
        <w:rPr/>
        <w:t xml:space="preserve">, 8 et suiv.</w:t>
      </w:r>
    </w:p>
  </w:footnote>
  <w:footnote w:id="187">
    <w:p>
      <w:pPr>
        <w:pStyle w:val="Notedebasdepage"/>
      </w:pPr>
      <w:r>
        <w:rPr>
          <w:rStyle w:val="Appelnotedebasdep"/>
        </w:rPr>
        <w:footnoteRef/>
        <w:t xml:space="preserve"> </w:t>
      </w:r>
      <w:r>
        <w:rPr/>
        <w:t xml:space="preserve"> Luc, XIII, 4. Le mouvement galiléen de Juda, fils d’Ézéchias, ne paraît pas avoir eu un caractère religieux ; peut-être, cependant, ce caractère a-t-il été dissimulé par Josèphe (</w:t>
      </w:r>
      <w:r>
        <w:rPr>
          <w:i/>
        </w:rPr>
        <w:t xml:space="preserve">Ant</w:t>
      </w:r>
      <w:r>
        <w:rPr/>
        <w:t xml:space="preserve">., XVII, x, 3).</w:t>
      </w:r>
    </w:p>
  </w:footnote>
  <w:footnote w:id="188">
    <w:p>
      <w:pPr>
        <w:pStyle w:val="Notedebasdepage"/>
      </w:pPr>
      <w:r>
        <w:rPr>
          <w:rStyle w:val="Appelnotedebasdep"/>
        </w:rPr>
        <w:footnoteRef/>
        <w:t xml:space="preserve"> </w:t>
      </w:r>
      <w:r>
        <w:rPr/>
        <w:t xml:space="preserve"> Jos., Ant., XVI, </w:t>
      </w:r>
      <w:r>
        <w:rPr/>
        <w:t xml:space="preserve">vi</w:t>
      </w:r>
      <w:r>
        <w:rPr/>
        <w:t xml:space="preserve">, 2, 3 ; XVIII, </w:t>
      </w:r>
      <w:r>
        <w:rPr/>
        <w:t xml:space="preserve">i</w:t>
      </w:r>
      <w:r>
        <w:rPr/>
        <w:t xml:space="preserve">, 4.</w:t>
      </w:r>
    </w:p>
  </w:footnote>
  <w:footnote w:id="189">
    <w:p>
      <w:pPr>
        <w:pStyle w:val="Notedebasdepage"/>
      </w:pPr>
      <w:r>
        <w:rPr>
          <w:rStyle w:val="Appelnotedebasdep"/>
        </w:rPr>
        <w:footnoteRef/>
        <w:t xml:space="preserve"> </w:t>
      </w:r>
      <w:r>
        <w:rPr/>
        <w:t xml:space="preserve"> Jos. </w:t>
      </w:r>
      <w:r>
        <w:rPr>
          <w:i/>
        </w:rPr>
        <w:t xml:space="preserve">R.J.</w:t>
      </w:r>
      <w:r>
        <w:rPr/>
        <w:t xml:space="preserve"> III, </w:t>
      </w:r>
      <w:r>
        <w:rPr/>
        <w:t xml:space="preserve">iii</w:t>
      </w:r>
      <w:r>
        <w:rPr/>
        <w:t xml:space="preserve">, 1. L’horrible état où le pays est réduit, surtout près du lac de Tibériade, ne doit pas faire illusion. Ces pays, maintenant brûlés, ont été autrefois des paradis terrestres. Les bains de Tibériade, qui sont aujourd’hui un affreux séjour, ont été autrefois le plus bel endroit de la Galilée (Jos., </w:t>
      </w:r>
      <w:r>
        <w:rPr>
          <w:i/>
        </w:rPr>
        <w:t xml:space="preserve">Ant.</w:t>
      </w:r>
      <w:r>
        <w:rPr/>
        <w:t xml:space="preserve">, XVIII, </w:t>
      </w:r>
      <w:r>
        <w:rPr/>
        <w:t xml:space="preserve">ii</w:t>
      </w:r>
      <w:r>
        <w:rPr/>
        <w:t xml:space="preserve">, 3). Josèphe </w:t>
      </w:r>
      <w:r>
        <w:rPr>
          <w:i/>
        </w:rPr>
        <w:t xml:space="preserve">(Bell. Jud</w:t>
      </w:r>
      <w:r>
        <w:rPr/>
        <w:t xml:space="preserve">., III, x, 8) vante les beaux arbres de la plaine de Génésareth, où il n’y en a plus un seul. Antonin Martyr, vers l’an 600, cinquante ans par conséquent avant l’invasion musulmane, trouve encore la Galilée couverte de plantations délicieuses, et compare sa fertilité à celle de l’Égypte (</w:t>
      </w:r>
      <w:r>
        <w:rPr>
          <w:i/>
        </w:rPr>
        <w:t xml:space="preserve">Itin.</w:t>
      </w:r>
      <w:r>
        <w:rPr/>
        <w:t xml:space="preserve">, § 5).</w:t>
      </w:r>
    </w:p>
  </w:footnote>
  <w:footnote w:id="190">
    <w:p>
      <w:pPr>
        <w:pStyle w:val="Notedebasdepage"/>
      </w:pPr>
      <w:r>
        <w:rPr>
          <w:rStyle w:val="Appelnotedebasdep"/>
        </w:rPr>
        <w:footnoteRef/>
        <w:t xml:space="preserve"> </w:t>
      </w:r>
      <w:r>
        <w:rPr/>
        <w:t xml:space="preserve">Matth., V, 4 ; XIV, 23 ; Luc, VI, 12.</w:t>
      </w:r>
    </w:p>
  </w:footnote>
  <w:footnote w:id="191">
    <w:p>
      <w:pPr>
        <w:pStyle w:val="Notedebasdepage"/>
      </w:pPr>
      <w:r>
        <w:rPr>
          <w:rStyle w:val="Appelnotedebasdep"/>
        </w:rPr>
        <w:footnoteRef/>
        <w:t xml:space="preserve"> </w:t>
      </w:r>
      <w:r>
        <w:rPr/>
        <w:t xml:space="preserve">Matth., XVII, 1 et suiv. ; Marc, IXX, 4 et suiv. ; Luc, IX, 28 et suiv.</w:t>
      </w:r>
    </w:p>
  </w:footnote>
  <w:footnote w:id="192">
    <w:p>
      <w:pPr>
        <w:pStyle w:val="Notedebasdepage"/>
      </w:pPr>
      <w:r>
        <w:rPr>
          <w:rStyle w:val="Appelnotedebasdep"/>
        </w:rPr>
        <w:footnoteRef/>
        <w:t xml:space="preserve"> </w:t>
      </w:r>
      <w:r>
        <w:rPr/>
        <w:t xml:space="preserve"> Jos., </w:t>
      </w:r>
      <w:r>
        <w:rPr>
          <w:i/>
        </w:rPr>
        <w:t xml:space="preserve">B.J</w:t>
      </w:r>
      <w:r>
        <w:rPr/>
        <w:t xml:space="preserve">., III, </w:t>
      </w:r>
      <w:r>
        <w:rPr/>
        <w:t xml:space="preserve">iii</w:t>
      </w:r>
      <w:r>
        <w:rPr/>
        <w:t xml:space="preserve">, 2.</w:t>
      </w:r>
    </w:p>
  </w:footnote>
  <w:footnote w:id="193">
    <w:p>
      <w:pPr>
        <w:pStyle w:val="Notedebasdepage"/>
      </w:pPr>
      <w:r>
        <w:rPr>
          <w:rStyle w:val="Appelnotedebasdep"/>
        </w:rPr>
        <w:footnoteRef/>
        <w:t xml:space="preserve"> </w:t>
      </w:r>
      <w:r>
        <w:rPr/>
        <w:t xml:space="preserve"> Jos., </w:t>
      </w:r>
      <w:r>
        <w:rPr>
          <w:i/>
        </w:rPr>
        <w:t xml:space="preserve">Ant</w:t>
      </w:r>
      <w:r>
        <w:rPr/>
        <w:t xml:space="preserve">., XVIII, </w:t>
      </w:r>
      <w:r>
        <w:rPr/>
        <w:t xml:space="preserve">ii</w:t>
      </w:r>
      <w:r>
        <w:rPr/>
        <w:t xml:space="preserve">, 2 ; </w:t>
      </w:r>
      <w:r>
        <w:rPr>
          <w:i/>
        </w:rPr>
        <w:t xml:space="preserve">B.J</w:t>
      </w:r>
      <w:r>
        <w:rPr/>
        <w:t xml:space="preserve">., II, </w:t>
      </w:r>
      <w:r>
        <w:rPr/>
        <w:t xml:space="preserve">ix</w:t>
      </w:r>
      <w:r>
        <w:rPr/>
        <w:t xml:space="preserve">, I ; </w:t>
      </w:r>
      <w:r>
        <w:rPr>
          <w:i/>
        </w:rPr>
        <w:t xml:space="preserve">Vita</w:t>
      </w:r>
      <w:r>
        <w:rPr/>
        <w:t xml:space="preserve">, 12, 13, 64.</w:t>
      </w:r>
    </w:p>
  </w:footnote>
  <w:footnote w:id="194">
    <w:p>
      <w:pPr>
        <w:pStyle w:val="Notedebasdepage"/>
      </w:pPr>
      <w:r>
        <w:rPr>
          <w:rStyle w:val="Appelnotedebasdep"/>
        </w:rPr>
        <w:footnoteRef/>
        <w:t xml:space="preserve"> </w:t>
      </w:r>
      <w:r>
        <w:rPr/>
        <w:t xml:space="preserve"> Jos., </w:t>
      </w:r>
      <w:r>
        <w:rPr>
          <w:i/>
        </w:rPr>
        <w:t xml:space="preserve">B. J</w:t>
      </w:r>
      <w:r>
        <w:rPr/>
        <w:t xml:space="preserve">., III, </w:t>
      </w:r>
      <w:r>
        <w:rPr/>
        <w:t xml:space="preserve">iii</w:t>
      </w:r>
      <w:r>
        <w:rPr/>
        <w:t xml:space="preserve">, 2.</w:t>
      </w:r>
    </w:p>
  </w:footnote>
  <w:footnote w:id="195">
    <w:p>
      <w:pPr>
        <w:pStyle w:val="Notedebasdepage"/>
      </w:pPr>
      <w:r>
        <w:rPr>
          <w:rStyle w:val="Appelnotedebasdep"/>
        </w:rPr>
        <w:footnoteRef/>
        <w:t xml:space="preserve"> </w:t>
      </w:r>
      <w:r>
        <w:rPr/>
        <w:t xml:space="preserve"> On peut se les figurer d’après quelques enclos des environs de Nazareth. Cf. </w:t>
      </w:r>
      <w:r>
        <w:rPr>
          <w:i/>
        </w:rPr>
        <w:t xml:space="preserve">Cant. Cant</w:t>
      </w:r>
      <w:r>
        <w:rPr/>
        <w:t xml:space="preserve">., II, 3, 5, 13 ; IV, 13 ; VI, 6, 10 ; VII, 8, 12 ; VIII, 2, 5 ; Anton. Martyr, </w:t>
      </w:r>
      <w:r>
        <w:rPr>
          <w:i/>
        </w:rPr>
        <w:t xml:space="preserve">b.c</w:t>
      </w:r>
      <w:r>
        <w:rPr/>
        <w:t xml:space="preserve">. L’aspect des grandes métairies s’est encore bien conservé dans le sud du pays de Tyr (ancienne tribu d’Aser). La trace de la vieille agriculture palestinienne, avec ses ustensiles taillés dans le roc (aires, pressoirs, silos, auges, meules, etc.), se retrouve du reste à chaque pas.</w:t>
      </w:r>
    </w:p>
  </w:footnote>
  <w:footnote w:id="196">
    <w:p>
      <w:pPr>
        <w:pStyle w:val="Notedebasdepage"/>
      </w:pPr>
      <w:r>
        <w:rPr>
          <w:rStyle w:val="Appelnotedebasdep"/>
        </w:rPr>
        <w:footnoteRef/>
        <w:t xml:space="preserve"> </w:t>
      </w:r>
      <w:r>
        <w:rPr/>
        <w:t xml:space="preserve"> Matth., IX, 17 ; </w:t>
      </w:r>
      <w:r>
        <w:rPr/>
        <w:t xml:space="preserve">xi</w:t>
      </w:r>
      <w:r>
        <w:rPr/>
        <w:t xml:space="preserve">, 19 ; Marc, II, 22 ; Luc, V, 37 ; vu, 34, Jean, II, 3 et suiv.</w:t>
      </w:r>
    </w:p>
  </w:footnote>
  <w:footnote w:id="197">
    <w:p>
      <w:pPr>
        <w:pStyle w:val="Notedebasdepage"/>
      </w:pPr>
      <w:r>
        <w:rPr>
          <w:rStyle w:val="Appelnotedebasdep"/>
        </w:rPr>
        <w:footnoteRef/>
        <w:t xml:space="preserve"> </w:t>
      </w:r>
      <w:r>
        <w:rPr/>
        <w:t xml:space="preserve">Luc, II, 41.</w:t>
      </w:r>
    </w:p>
  </w:footnote>
  <w:footnote w:id="198">
    <w:p>
      <w:pPr>
        <w:pStyle w:val="Notedebasdepage"/>
      </w:pPr>
      <w:r>
        <w:rPr>
          <w:rStyle w:val="Appelnotedebasdep"/>
        </w:rPr>
        <w:footnoteRef/>
        <w:t xml:space="preserve"> </w:t>
      </w:r>
      <w:r>
        <w:rPr/>
        <w:t xml:space="preserve">Luc, II, 42-44.</w:t>
      </w:r>
    </w:p>
  </w:footnote>
  <w:footnote w:id="199">
    <w:p>
      <w:pPr>
        <w:pStyle w:val="Notedebasdepage"/>
      </w:pPr>
      <w:r>
        <w:rPr>
          <w:rStyle w:val="Appelnotedebasdep"/>
        </w:rPr>
        <w:footnoteRef/>
        <w:t xml:space="preserve"> </w:t>
      </w:r>
      <w:r>
        <w:rPr/>
        <w:t xml:space="preserve"> Voir surtout ps. LXXXIV, </w:t>
      </w:r>
      <w:r>
        <w:rPr/>
        <w:t xml:space="preserve">cxxii</w:t>
      </w:r>
      <w:r>
        <w:rPr/>
        <w:t xml:space="preserve">, CXXXIII (Vulg. LXXXIII, CXXI, CXXXII).</w:t>
      </w:r>
    </w:p>
  </w:footnote>
  <w:footnote w:id="200">
    <w:p>
      <w:pPr>
        <w:pStyle w:val="Notedebasdepage"/>
      </w:pPr>
      <w:r>
        <w:rPr>
          <w:rStyle w:val="Appelnotedebasdep"/>
        </w:rPr>
        <w:footnoteRef/>
        <w:t xml:space="preserve"> </w:t>
      </w:r>
      <w:r>
        <w:rPr/>
        <w:t xml:space="preserve"> Luc, IX, 51-53 ; XVII, 41 ; Jean, IV, 4 ; Jos., </w:t>
      </w:r>
      <w:r>
        <w:rPr>
          <w:i/>
        </w:rPr>
        <w:t xml:space="preserve">Ant</w:t>
      </w:r>
      <w:r>
        <w:rPr/>
        <w:t xml:space="preserve">., XX, </w:t>
      </w:r>
      <w:r>
        <w:rPr/>
        <w:t xml:space="preserve">vi</w:t>
      </w:r>
      <w:r>
        <w:rPr/>
        <w:t xml:space="preserve">, 4 ; </w:t>
      </w:r>
      <w:r>
        <w:rPr>
          <w:i/>
        </w:rPr>
        <w:t xml:space="preserve">B.J.</w:t>
      </w:r>
      <w:r>
        <w:rPr/>
        <w:t xml:space="preserve"> II, </w:t>
      </w:r>
      <w:r>
        <w:rPr/>
        <w:t xml:space="preserve">xii</w:t>
      </w:r>
      <w:r>
        <w:rPr/>
        <w:t xml:space="preserve">, 3 ; </w:t>
      </w:r>
      <w:r>
        <w:rPr>
          <w:i/>
        </w:rPr>
        <w:t xml:space="preserve">Vita</w:t>
      </w:r>
      <w:r>
        <w:rPr/>
        <w:t xml:space="preserve"> 52. Souvent, cependant, les pèlerins venaient par la Pérée pour éviter la Samarie, où ils couraient des dangers. Matth., XIX, 4 ; Marc, X, 1.</w:t>
      </w:r>
    </w:p>
  </w:footnote>
  <w:footnote w:id="201">
    <w:p>
      <w:pPr>
        <w:pStyle w:val="Notedebasdepage"/>
      </w:pPr>
      <w:r>
        <w:rPr>
          <w:rStyle w:val="Appelnotedebasdep"/>
        </w:rPr>
        <w:footnoteRef/>
        <w:t xml:space="preserve"> </w:t>
      </w:r>
      <w:r>
        <w:rPr/>
        <w:t xml:space="preserve"> Selon Josèphe </w:t>
      </w:r>
      <w:r>
        <w:rPr>
          <w:i/>
        </w:rPr>
        <w:t xml:space="preserve">(Vita</w:t>
      </w:r>
      <w:r>
        <w:rPr/>
        <w:t xml:space="preserve">, 82), la route était de trois jours. Mais l’étape de Sichem à Jérusalem devait d’ordinaire être coupée en deux.</w:t>
      </w:r>
    </w:p>
  </w:footnote>
  <w:footnote w:id="202">
    <w:p>
      <w:pPr>
        <w:pStyle w:val="Notedebasdepage"/>
      </w:pPr>
      <w:r>
        <w:rPr>
          <w:rStyle w:val="Appelnotedebasdep"/>
        </w:rPr>
        <w:footnoteRef/>
        <w:t xml:space="preserve"> </w:t>
      </w:r>
      <w:r>
        <w:rPr/>
        <w:t xml:space="preserve">LXXXIII selon la Vulgate, v. 7.</w:t>
      </w:r>
    </w:p>
  </w:footnote>
  <w:footnote w:id="203">
    <w:p>
      <w:pPr>
        <w:pStyle w:val="Notedebasdepage"/>
      </w:pPr>
      <w:r>
        <w:rPr>
          <w:rStyle w:val="Appelnotedebasdep"/>
        </w:rPr>
        <w:footnoteRef/>
        <w:t xml:space="preserve"> </w:t>
      </w:r>
      <w:r>
        <w:rPr/>
        <w:t xml:space="preserve">Luc, IV, 42 ; V, 16.</w:t>
      </w:r>
    </w:p>
  </w:footnote>
  <w:footnote w:id="204">
    <w:p>
      <w:pPr>
        <w:pStyle w:val="Notedebasdepage"/>
      </w:pPr>
      <w:r>
        <w:rPr>
          <w:rStyle w:val="Appelnotedebasdep"/>
        </w:rPr>
        <w:footnoteRef/>
        <w:t xml:space="preserve"> </w:t>
      </w:r>
      <w:r>
        <w:rPr/>
        <w:t xml:space="preserve"> C’est l’expression de Marc, VI, 3. Cf. Matth., XIII, 85. Marc ne connaît pas Joseph ; Jean et Luc, au contraire, préfèrent l’expression « fils de Joseph. » Luc, III, 23 ; IV, 22 ; Jean, </w:t>
      </w:r>
      <w:r>
        <w:rPr/>
        <w:t xml:space="preserve">i</w:t>
      </w:r>
      <w:r>
        <w:rPr/>
        <w:t xml:space="preserve">, 45 ; IV, 42.</w:t>
      </w:r>
    </w:p>
  </w:footnote>
  <w:footnote w:id="205">
    <w:p>
      <w:pPr>
        <w:pStyle w:val="Notedebasdepage"/>
      </w:pPr>
      <w:r>
        <w:rPr>
          <w:rStyle w:val="Appelnotedebasdep"/>
        </w:rPr>
        <w:footnoteRef/>
        <w:t xml:space="preserve"> </w:t>
      </w:r>
      <w:r>
        <w:rPr/>
        <w:t xml:space="preserve">Jean, II, 1 ; IV, 46. Jean seul est renseigné sur ce point.</w:t>
      </w:r>
    </w:p>
  </w:footnote>
  <w:footnote w:id="206">
    <w:p>
      <w:pPr>
        <w:pStyle w:val="Notedebasdepage"/>
      </w:pPr>
      <w:r>
        <w:rPr>
          <w:rStyle w:val="Appelnotedebasdep"/>
        </w:rPr>
        <w:footnoteRef/>
        <w:t xml:space="preserve"> </w:t>
      </w:r>
      <w:r>
        <w:rPr/>
        <w:t xml:space="preserve"> J’admets comme probable le sentiment qui identifie Cana de Galilée avec </w:t>
      </w:r>
      <w:r>
        <w:rPr>
          <w:i/>
        </w:rPr>
        <w:t xml:space="preserve">Kana el-Djélil.</w:t>
      </w:r>
      <w:r>
        <w:rPr/>
        <w:t xml:space="preserve"> On peut cependant faire valoir des arguments pour </w:t>
      </w:r>
      <w:r>
        <w:rPr>
          <w:i/>
        </w:rPr>
        <w:t xml:space="preserve">Kefr-Kenna</w:t>
      </w:r>
      <w:r>
        <w:rPr/>
        <w:t xml:space="preserve">, à une heure ou une heure et demie N.-N.-E. de Nazareth.</w:t>
      </w:r>
    </w:p>
  </w:footnote>
  <w:footnote w:id="207">
    <w:p>
      <w:pPr>
        <w:pStyle w:val="Notedebasdepage"/>
      </w:pPr>
      <w:r>
        <w:rPr>
          <w:rStyle w:val="Appelnotedebasdep"/>
        </w:rPr>
        <w:footnoteRef/>
        <w:t xml:space="preserve"> </w:t>
      </w:r>
      <w:r>
        <w:rPr/>
        <w:t xml:space="preserve"> Maintenant </w:t>
      </w:r>
      <w:r>
        <w:rPr>
          <w:i/>
        </w:rPr>
        <w:t xml:space="preserve">el-Buttauf.</w:t>
      </w:r>
    </w:p>
  </w:footnote>
  <w:footnote w:id="208">
    <w:p>
      <w:pPr>
        <w:pStyle w:val="Notedebasdepage"/>
      </w:pPr>
      <w:r>
        <w:rPr>
          <w:rStyle w:val="Appelnotedebasdep"/>
        </w:rPr>
        <w:footnoteRef/>
        <w:t xml:space="preserve"> </w:t>
      </w:r>
      <w:r>
        <w:rPr/>
        <w:t xml:space="preserve">Jean, II, 11 ; IV, 46. Un ou deux disciples étaient de Cana. Jean, XXI, 2 ; Matth., X, 4 ; Marc, III, 18.</w:t>
      </w:r>
    </w:p>
  </w:footnote>
  <w:footnote w:id="209">
    <w:p>
      <w:pPr>
        <w:pStyle w:val="Notedebasdepage"/>
      </w:pPr>
      <w:r>
        <w:rPr>
          <w:rStyle w:val="Appelnotedebasdep"/>
        </w:rPr>
        <w:footnoteRef/>
        <w:t xml:space="preserve"> </w:t>
      </w:r>
      <w:r>
        <w:rPr/>
        <w:t xml:space="preserve"> Marc, VI, 3 ; Justin, </w:t>
      </w:r>
      <w:r>
        <w:rPr>
          <w:i/>
        </w:rPr>
        <w:t xml:space="preserve">Dial. cum Tryph</w:t>
      </w:r>
      <w:r>
        <w:rPr/>
        <w:t xml:space="preserve">., 88.</w:t>
      </w:r>
    </w:p>
  </w:footnote>
  <w:footnote w:id="210">
    <w:p>
      <w:pPr>
        <w:pStyle w:val="Notedebasdepage"/>
      </w:pPr>
      <w:r>
        <w:rPr>
          <w:rStyle w:val="Appelnotedebasdep"/>
        </w:rPr>
        <w:footnoteRef/>
        <w:t xml:space="preserve"> </w:t>
      </w:r>
      <w:r>
        <w:rPr/>
        <w:t xml:space="preserve">Par exemple, « Rabbi Iohanan le Cordonnier, Rabbi Isaac le Forgeron. »</w:t>
      </w:r>
    </w:p>
  </w:footnote>
  <w:footnote w:id="211">
    <w:p>
      <w:pPr>
        <w:pStyle w:val="Notedebasdepage"/>
      </w:pPr>
      <w:r>
        <w:rPr>
          <w:rStyle w:val="Appelnotedebasdep"/>
        </w:rPr>
        <w:footnoteRef/>
        <w:t xml:space="preserve"> </w:t>
      </w:r>
      <w:r>
        <w:rPr>
          <w:i/>
        </w:rPr>
        <w:t xml:space="preserve">Act</w:t>
      </w:r>
      <w:r>
        <w:rPr/>
        <w:t xml:space="preserve">., XVIII, 3.</w:t>
      </w:r>
    </w:p>
  </w:footnote>
  <w:footnote w:id="212">
    <w:p>
      <w:pPr>
        <w:pStyle w:val="Notedebasdepage"/>
      </w:pPr>
      <w:r>
        <w:rPr>
          <w:rStyle w:val="Appelnotedebasdep"/>
        </w:rPr>
        <w:footnoteRef/>
        <w:t xml:space="preserve"> </w:t>
      </w:r>
      <w:r>
        <w:rPr/>
        <w:t xml:space="preserve">Voir ci-dessous, p. 151-152.</w:t>
      </w:r>
    </w:p>
  </w:footnote>
  <w:footnote w:id="213">
    <w:p>
      <w:pPr>
        <w:pStyle w:val="Notedebasdepage"/>
      </w:pPr>
      <w:r>
        <w:rPr>
          <w:rStyle w:val="Appelnotedebasdep"/>
        </w:rPr>
        <w:footnoteRef/>
        <w:t xml:space="preserve"> </w:t>
      </w:r>
      <w:r>
        <w:rPr/>
        <w:t xml:space="preserve">Luc, VII, 37 et suiv. ; Jean, IV, 7 et suiv. ; VIII, 3 et suiv.</w:t>
      </w:r>
    </w:p>
  </w:footnote>
  <w:footnote w:id="214">
    <w:p>
      <w:pPr>
        <w:pStyle w:val="Notedebasdepage"/>
      </w:pPr>
      <w:r>
        <w:rPr>
          <w:rStyle w:val="Appelnotedebasdep"/>
        </w:rPr>
        <w:footnoteRef/>
        <w:t xml:space="preserve"> </w:t>
      </w:r>
      <w:r>
        <w:rPr/>
        <w:t xml:space="preserve"> Les discours que le quatrième évangile prête à Jésus renferment déjà un germe de théologie. Mais ces discours étant en contradiction absolue avec ceux des évangiles synoptiques, lesquels représentent sans aucun doute les </w:t>
      </w:r>
      <w:r>
        <w:rPr>
          <w:i/>
        </w:rPr>
        <w:t xml:space="preserve">Logia</w:t>
      </w:r>
      <w:r>
        <w:rPr/>
        <w:t xml:space="preserve"> primitifs, ils doivent compter pour des documents de l’histoire apostolique, et non pour des éléments de la vie de Jésus.</w:t>
      </w:r>
    </w:p>
  </w:footnote>
  <w:footnote w:id="215">
    <w:p>
      <w:pPr>
        <w:pStyle w:val="Notedebasdepage"/>
      </w:pPr>
      <w:r>
        <w:rPr>
          <w:rStyle w:val="Appelnotedebasdep"/>
        </w:rPr>
        <w:footnoteRef/>
        <w:t xml:space="preserve"> </w:t>
      </w:r>
      <w:r>
        <w:rPr/>
        <w:t xml:space="preserve">Voir Matth., IX, 9, et les autres récits analogues.</w:t>
      </w:r>
    </w:p>
  </w:footnote>
  <w:footnote w:id="216">
    <w:p>
      <w:pPr>
        <w:pStyle w:val="Notedebasdepage"/>
      </w:pPr>
      <w:r>
        <w:rPr>
          <w:rStyle w:val="Appelnotedebasdep"/>
        </w:rPr>
        <w:footnoteRef/>
        <w:t xml:space="preserve"> </w:t>
      </w:r>
      <w:r>
        <w:rPr/>
        <w:t xml:space="preserve">Voir, par exemple, Jean, XXI, 15 et suiv.</w:t>
      </w:r>
    </w:p>
  </w:footnote>
  <w:footnote w:id="217">
    <w:p>
      <w:pPr>
        <w:pStyle w:val="Notedebasdepage"/>
      </w:pPr>
      <w:r>
        <w:rPr>
          <w:rStyle w:val="Appelnotedebasdep"/>
        </w:rPr>
        <w:footnoteRef/>
        <w:t xml:space="preserve"> </w:t>
      </w:r>
      <w:r>
        <w:rPr/>
        <w:t xml:space="preserve"> La belle âme de Philon se rencontra ici, comme sur tant d’autres points, avec celle de Jésus. </w:t>
      </w:r>
      <w:r>
        <w:rPr>
          <w:i/>
        </w:rPr>
        <w:t xml:space="preserve">De confus. ling</w:t>
      </w:r>
      <w:r>
        <w:rPr/>
        <w:t xml:space="preserve">., § 14 ; </w:t>
      </w:r>
      <w:r>
        <w:rPr>
          <w:i/>
        </w:rPr>
        <w:t xml:space="preserve">De migr. Abr</w:t>
      </w:r>
      <w:r>
        <w:rPr/>
        <w:t xml:space="preserve">., § I ; </w:t>
      </w:r>
      <w:r>
        <w:rPr>
          <w:i/>
        </w:rPr>
        <w:t xml:space="preserve">De somniis</w:t>
      </w:r>
      <w:r>
        <w:rPr/>
        <w:t xml:space="preserve">, II, § 41 ; </w:t>
      </w:r>
      <w:r>
        <w:rPr>
          <w:i/>
        </w:rPr>
        <w:t xml:space="preserve">De agric. Noë</w:t>
      </w:r>
      <w:r>
        <w:rPr/>
        <w:t xml:space="preserve">, § 12 ; </w:t>
      </w:r>
      <w:r>
        <w:rPr>
          <w:i/>
        </w:rPr>
        <w:t xml:space="preserve">De mutatione nominum</w:t>
      </w:r>
      <w:r>
        <w:rPr/>
        <w:t xml:space="preserve">, § 4. Mais Philon est à peine juif d’esprit.</w:t>
      </w:r>
    </w:p>
  </w:footnote>
  <w:footnote w:id="218">
    <w:p>
      <w:pPr>
        <w:pStyle w:val="Notedebasdepage"/>
      </w:pPr>
      <w:r>
        <w:rPr>
          <w:rStyle w:val="Appelnotedebasdep"/>
        </w:rPr>
        <w:footnoteRef/>
        <w:t xml:space="preserve"> </w:t>
      </w:r>
      <w:r>
        <w:rPr/>
        <w:t xml:space="preserve"> Saint Paul, </w:t>
      </w:r>
      <w:r>
        <w:rPr>
          <w:i/>
        </w:rPr>
        <w:t xml:space="preserve">ad Galatas</w:t>
      </w:r>
      <w:r>
        <w:rPr/>
        <w:t xml:space="preserve">, IV, 6.</w:t>
      </w:r>
    </w:p>
  </w:footnote>
  <w:footnote w:id="219">
    <w:p>
      <w:pPr>
        <w:pStyle w:val="Notedebasdepage"/>
      </w:pPr>
      <w:r>
        <w:rPr>
          <w:rStyle w:val="Appelnotedebasdep"/>
        </w:rPr>
        <w:footnoteRef/>
        <w:t xml:space="preserve"> </w:t>
      </w:r>
      <w:r>
        <w:rPr/>
        <w:t xml:space="preserve">Le mot « ciel », dans la langue rabbinique de ce temps, est synonyme du nom de « Dieu », qu’on évitait de prononcer. Comp. Matth., XXI, 25 ; Luc, XV, 18 ; XX, 4.</w:t>
      </w:r>
    </w:p>
  </w:footnote>
  <w:footnote w:id="220">
    <w:p>
      <w:pPr>
        <w:pStyle w:val="Notedebasdepage"/>
      </w:pPr>
      <w:r>
        <w:rPr>
          <w:rStyle w:val="Appelnotedebasdep"/>
        </w:rPr>
        <w:footnoteRef/>
        <w:t xml:space="preserve"> </w:t>
      </w:r>
      <w:r>
        <w:rPr/>
        <w:t xml:space="preserve">Cette expression revient à chaque page des évangiles synoptiques, des Actes des Apôtres, de saint Paul. Si elle ne paraît qu’une fois en saint Jean (III, 3 et 5), c’est que les discours rapportés par le quatrième évangile sont loin de représenter la parole vraie de Jésus.</w:t>
      </w:r>
    </w:p>
  </w:footnote>
  <w:footnote w:id="221">
    <w:p>
      <w:pPr>
        <w:pStyle w:val="Notedebasdepage"/>
      </w:pPr>
      <w:r>
        <w:rPr>
          <w:rStyle w:val="Appelnotedebasdep"/>
        </w:rPr>
        <w:footnoteRef/>
        <w:t xml:space="preserve"> </w:t>
      </w:r>
      <w:r>
        <w:rPr/>
        <w:t xml:space="preserve">Dan., II, 44 ; VII, 43, 14, 22, 27.</w:t>
      </w:r>
    </w:p>
  </w:footnote>
  <w:footnote w:id="222">
    <w:p>
      <w:pPr>
        <w:pStyle w:val="Notedebasdepage"/>
      </w:pPr>
      <w:r>
        <w:rPr>
          <w:rStyle w:val="Appelnotedebasdep"/>
        </w:rPr>
        <w:footnoteRef/>
        <w:t xml:space="preserve"> </w:t>
      </w:r>
      <w:r>
        <w:rPr/>
        <w:t xml:space="preserve"> Mischna, </w:t>
      </w:r>
      <w:r>
        <w:rPr>
          <w:i/>
        </w:rPr>
        <w:t xml:space="preserve">Berakoth</w:t>
      </w:r>
      <w:r>
        <w:rPr/>
        <w:t xml:space="preserve">, II, 1, 3 ; Talmud de Jérusalem, </w:t>
      </w:r>
      <w:r>
        <w:rPr>
          <w:i/>
        </w:rPr>
        <w:t xml:space="preserve">Berakoth</w:t>
      </w:r>
      <w:r>
        <w:rPr/>
        <w:t xml:space="preserve">, II, 2 ; </w:t>
      </w:r>
      <w:r>
        <w:rPr>
          <w:i/>
        </w:rPr>
        <w:t xml:space="preserve">Kidduschin</w:t>
      </w:r>
      <w:r>
        <w:rPr/>
        <w:t xml:space="preserve">, </w:t>
      </w:r>
      <w:r>
        <w:rPr/>
        <w:t xml:space="preserve">i</w:t>
      </w:r>
      <w:r>
        <w:rPr/>
        <w:t xml:space="preserve">, 2 ; Talm. de Bab., </w:t>
      </w:r>
      <w:r>
        <w:rPr>
          <w:i/>
        </w:rPr>
        <w:t xml:space="preserve">Berakoth</w:t>
      </w:r>
      <w:r>
        <w:rPr/>
        <w:t xml:space="preserve">, 15 </w:t>
      </w:r>
      <w:r>
        <w:rPr>
          <w:i/>
        </w:rPr>
        <w:t xml:space="preserve">a</w:t>
      </w:r>
      <w:r>
        <w:rPr/>
        <w:t xml:space="preserve"> ; </w:t>
      </w:r>
      <w:r>
        <w:rPr>
          <w:i/>
        </w:rPr>
        <w:t xml:space="preserve">Mekilta</w:t>
      </w:r>
      <w:r>
        <w:rPr/>
        <w:t xml:space="preserve">, 42 </w:t>
      </w:r>
      <w:r>
        <w:rPr>
          <w:i/>
        </w:rPr>
        <w:t xml:space="preserve">b</w:t>
      </w:r>
      <w:r>
        <w:rPr/>
        <w:t xml:space="preserve"> ; Siphra, 170 </w:t>
      </w:r>
      <w:r>
        <w:rPr>
          <w:i/>
        </w:rPr>
        <w:t xml:space="preserve">b</w:t>
      </w:r>
      <w:r>
        <w:rPr/>
        <w:t xml:space="preserve">. L’expression revient souvent dans les </w:t>
      </w:r>
      <w:r>
        <w:rPr>
          <w:i/>
        </w:rPr>
        <w:t xml:space="preserve">Midraschim</w:t>
      </w:r>
      <w:r>
        <w:rPr/>
        <w:t xml:space="preserve">.</w:t>
      </w:r>
    </w:p>
  </w:footnote>
  <w:footnote w:id="223">
    <w:p>
      <w:pPr>
        <w:pStyle w:val="Notedebasdepage"/>
      </w:pPr>
      <w:r>
        <w:rPr>
          <w:rStyle w:val="Appelnotedebasdep"/>
        </w:rPr>
        <w:footnoteRef/>
        <w:t xml:space="preserve"> </w:t>
      </w:r>
      <w:r>
        <w:rPr/>
        <w:t xml:space="preserve">Matth., VI, 33 ; XII, 28 ; XIX, 12 ; Marc, XII, 34 ; Luc, XII, 31.</w:t>
      </w:r>
    </w:p>
  </w:footnote>
  <w:footnote w:id="224">
    <w:p>
      <w:pPr>
        <w:pStyle w:val="Notedebasdepage"/>
      </w:pPr>
      <w:r>
        <w:rPr>
          <w:rStyle w:val="Appelnotedebasdep"/>
        </w:rPr>
        <w:footnoteRef/>
        <w:t xml:space="preserve"> </w:t>
      </w:r>
      <w:r>
        <w:rPr/>
        <w:t xml:space="preserve">Luc, XVII, 20-21.</w:t>
      </w:r>
    </w:p>
  </w:footnote>
  <w:footnote w:id="225">
    <w:p>
      <w:pPr>
        <w:pStyle w:val="Notedebasdepage"/>
      </w:pPr>
      <w:r>
        <w:rPr>
          <w:rStyle w:val="Appelnotedebasdep"/>
        </w:rPr>
        <w:footnoteRef/>
        <w:t xml:space="preserve"> </w:t>
      </w:r>
      <w:r>
        <w:rPr/>
        <w:t xml:space="preserve">La grande théorie de l’apocalypse du Fils de l’homme est en effet réservée, dans les synoptiques, pour les chapitres qui précèdent le récit de la passion. Les premières prédications, surtout dans Matthieu, sont toutes morales.</w:t>
      </w:r>
    </w:p>
  </w:footnote>
  <w:footnote w:id="226">
    <w:p>
      <w:pPr>
        <w:pStyle w:val="Notedebasdepage"/>
      </w:pPr>
      <w:r>
        <w:rPr>
          <w:rStyle w:val="Appelnotedebasdep"/>
        </w:rPr>
        <w:footnoteRef/>
        <w:t xml:space="preserve"> </w:t>
      </w:r>
      <w:r>
        <w:rPr/>
        <w:t xml:space="preserve">Matth., XIII, 54 et suiv. ; Marc, VI, 2 et suiv. ; Jean, VI, 42.</w:t>
      </w:r>
    </w:p>
  </w:footnote>
  <w:footnote w:id="227">
    <w:p>
      <w:pPr>
        <w:pStyle w:val="Notedebasdepage"/>
      </w:pPr>
      <w:r>
        <w:rPr>
          <w:rStyle w:val="Appelnotedebasdep"/>
        </w:rPr>
        <w:footnoteRef/>
        <w:t xml:space="preserve"> </w:t>
      </w:r>
      <w:r>
        <w:rPr/>
        <w:t xml:space="preserve"> La tradition sur la laideur de Jésus (Justin, </w:t>
      </w:r>
      <w:r>
        <w:rPr>
          <w:i/>
        </w:rPr>
        <w:t xml:space="preserve">Dial. cum Tryph.</w:t>
      </w:r>
      <w:r>
        <w:rPr/>
        <w:t xml:space="preserve">, 85, 88, 100) vient du désir de voir réalisé en lui un trait prétendu messianique (Is.., LIII, 2).</w:t>
      </w:r>
    </w:p>
  </w:footnote>
  <w:footnote w:id="228">
    <w:p>
      <w:pPr>
        <w:pStyle w:val="Notedebasdepage"/>
      </w:pPr>
      <w:r>
        <w:rPr>
          <w:rStyle w:val="Appelnotedebasdep"/>
        </w:rPr>
        <w:footnoteRef/>
        <w:t xml:space="preserve"> </w:t>
      </w:r>
      <w:r>
        <w:rPr/>
        <w:t xml:space="preserve"> Les </w:t>
      </w:r>
      <w:r>
        <w:rPr>
          <w:i/>
        </w:rPr>
        <w:t xml:space="preserve">Logia</w:t>
      </w:r>
      <w:r>
        <w:rPr/>
        <w:t xml:space="preserve"> de saint Matthieu réunissent plusieurs de ces axiomes ensemble, pour en former de grands discours. Mais la forme fragmentaire se fait sentir à travers les sutures.</w:t>
      </w:r>
    </w:p>
  </w:footnote>
  <w:footnote w:id="229">
    <w:p>
      <w:pPr>
        <w:pStyle w:val="Notedebasdepage"/>
      </w:pPr>
      <w:r>
        <w:rPr>
          <w:rStyle w:val="Appelnotedebasdep"/>
        </w:rPr>
        <w:footnoteRef/>
        <w:t xml:space="preserve"> </w:t>
      </w:r>
      <w:r>
        <w:rPr/>
        <w:t xml:space="preserve"> Les sentences des docteurs juifs du temps sont recueillies dans le petit livre intitulé : </w:t>
      </w:r>
      <w:r>
        <w:rPr>
          <w:i/>
        </w:rPr>
        <w:t xml:space="preserve">Pirké Aboth</w:t>
      </w:r>
      <w:r>
        <w:rPr/>
        <w:t xml:space="preserve">.</w:t>
      </w:r>
    </w:p>
  </w:footnote>
  <w:footnote w:id="230">
    <w:p>
      <w:pPr>
        <w:pStyle w:val="Notedebasdepage"/>
      </w:pPr>
      <w:r>
        <w:rPr>
          <w:rStyle w:val="Appelnotedebasdep"/>
        </w:rPr>
        <w:footnoteRef/>
        <w:t xml:space="preserve"> </w:t>
      </w:r>
      <w:r>
        <w:rPr/>
        <w:t xml:space="preserve"> Les rapprochements seront faits ci-dessous, au fur et à mesure qu’ils se présenteront. On a parfois supposé que, la rédaction du Talmud étant postérieure à celle des Évangiles, des emprunts ont pu être faits par les compilateurs juifs à la morale chrétienne. Mais cela est inadmissible ; un mur de séparation existait entre l’église et la synagogue. La littérature chrétienne et la littérature juive n’ont eu avant le XIII</w:t>
      </w:r>
      <w:r>
        <w:rPr>
          <w:vertAlign w:val="superscript"/>
        </w:rPr>
        <w:t>e</w:t>
      </w:r>
      <w:r>
        <w:rPr/>
        <w:t xml:space="preserve"> siècle presque aucune influence l’une sur l’autre.</w:t>
      </w:r>
    </w:p>
  </w:footnote>
  <w:footnote w:id="231">
    <w:p>
      <w:pPr>
        <w:pStyle w:val="Notedebasdepage"/>
      </w:pPr>
      <w:r>
        <w:rPr>
          <w:rStyle w:val="Appelnotedebasdep"/>
        </w:rPr>
        <w:footnoteRef/>
        <w:t xml:space="preserve"> </w:t>
      </w:r>
      <w:r>
        <w:rPr/>
        <w:t xml:space="preserve"> Matth., VII, 12 ; Luc, VI, 31. Cet axiome est déjà dans le livre de </w:t>
      </w:r>
      <w:r>
        <w:rPr>
          <w:i/>
        </w:rPr>
        <w:t xml:space="preserve">Tobie</w:t>
      </w:r>
      <w:r>
        <w:rPr/>
        <w:t xml:space="preserve">, IV, 16. Hillel s’en servait habituellement (Talm. de Bab., </w:t>
      </w:r>
      <w:r>
        <w:rPr>
          <w:i/>
        </w:rPr>
        <w:t xml:space="preserve">Schabbath</w:t>
      </w:r>
      <w:r>
        <w:rPr/>
        <w:t xml:space="preserve">, 31 </w:t>
      </w:r>
      <w:r>
        <w:rPr>
          <w:i/>
        </w:rPr>
        <w:t xml:space="preserve">a</w:t>
      </w:r>
      <w:r>
        <w:rPr/>
        <w:t xml:space="preserve">), et déclarait comme Jésus que c’était là l’abrégé de la Loi.</w:t>
      </w:r>
    </w:p>
  </w:footnote>
  <w:footnote w:id="232">
    <w:p>
      <w:pPr>
        <w:pStyle w:val="Notedebasdepage"/>
      </w:pPr>
      <w:r>
        <w:rPr>
          <w:rStyle w:val="Appelnotedebasdep"/>
        </w:rPr>
        <w:footnoteRef/>
        <w:t xml:space="preserve"> </w:t>
      </w:r>
      <w:r>
        <w:rPr/>
        <w:t xml:space="preserve"> Matth., V, 39 et suiv. ; Luc, VI, 29. Comparez Jérémie, </w:t>
      </w:r>
      <w:r>
        <w:rPr>
          <w:i/>
        </w:rPr>
        <w:t xml:space="preserve">Lament</w:t>
      </w:r>
      <w:r>
        <w:rPr/>
        <w:t xml:space="preserve">., III, 30.</w:t>
      </w:r>
    </w:p>
  </w:footnote>
  <w:footnote w:id="233">
    <w:p>
      <w:pPr>
        <w:pStyle w:val="Notedebasdepage"/>
      </w:pPr>
      <w:r>
        <w:rPr>
          <w:rStyle w:val="Appelnotedebasdep"/>
        </w:rPr>
        <w:footnoteRef/>
        <w:t xml:space="preserve"> </w:t>
      </w:r>
      <w:r>
        <w:rPr/>
        <w:t xml:space="preserve">Matth., V, 29-30 ; XVIII, 9 ; Marc, IX, 46.</w:t>
      </w:r>
    </w:p>
  </w:footnote>
  <w:footnote w:id="234">
    <w:p>
      <w:pPr>
        <w:pStyle w:val="Notedebasdepage"/>
      </w:pPr>
      <w:r>
        <w:rPr>
          <w:rStyle w:val="Appelnotedebasdep"/>
        </w:rPr>
        <w:footnoteRef/>
        <w:t xml:space="preserve"> </w:t>
      </w:r>
      <w:r>
        <w:rPr/>
        <w:t xml:space="preserve"> Matth., V, 44 ; Luc, VI, 27. Comparez Talmud de Babylone, </w:t>
      </w:r>
      <w:r>
        <w:rPr>
          <w:i/>
        </w:rPr>
        <w:t xml:space="preserve">Schabbath</w:t>
      </w:r>
      <w:r>
        <w:rPr/>
        <w:t xml:space="preserve">, 88 </w:t>
      </w:r>
      <w:r>
        <w:rPr>
          <w:i/>
        </w:rPr>
        <w:t xml:space="preserve">b</w:t>
      </w:r>
      <w:r>
        <w:rPr/>
        <w:t xml:space="preserve"> ; </w:t>
      </w:r>
      <w:r>
        <w:rPr>
          <w:i/>
        </w:rPr>
        <w:t xml:space="preserve">Joma</w:t>
      </w:r>
      <w:r>
        <w:rPr/>
        <w:t xml:space="preserve">, 23 </w:t>
      </w:r>
      <w:r>
        <w:rPr>
          <w:i/>
        </w:rPr>
        <w:t xml:space="preserve">a</w:t>
      </w:r>
      <w:r>
        <w:rPr/>
        <w:t xml:space="preserve">.</w:t>
      </w:r>
    </w:p>
  </w:footnote>
  <w:footnote w:id="235">
    <w:p>
      <w:pPr>
        <w:pStyle w:val="Notedebasdepage"/>
      </w:pPr>
      <w:r>
        <w:rPr>
          <w:rStyle w:val="Appelnotedebasdep"/>
        </w:rPr>
        <w:footnoteRef/>
        <w:t xml:space="preserve"> </w:t>
      </w:r>
      <w:r>
        <w:rPr/>
        <w:t xml:space="preserve"> Matth., VII, 1 ; Luc, VI, 37. Comparez Talmud de Babylone, </w:t>
      </w:r>
      <w:r>
        <w:rPr>
          <w:i/>
        </w:rPr>
        <w:t xml:space="preserve">Kethuboth</w:t>
      </w:r>
      <w:r>
        <w:rPr/>
        <w:t xml:space="preserve">, 105 </w:t>
      </w:r>
      <w:r>
        <w:rPr>
          <w:i/>
        </w:rPr>
        <w:t xml:space="preserve">b</w:t>
      </w:r>
      <w:r>
        <w:rPr/>
        <w:t xml:space="preserve">.</w:t>
      </w:r>
    </w:p>
  </w:footnote>
  <w:footnote w:id="236">
    <w:p>
      <w:pPr>
        <w:pStyle w:val="Notedebasdepage"/>
      </w:pPr>
      <w:r>
        <w:rPr>
          <w:rStyle w:val="Appelnotedebasdep"/>
        </w:rPr>
        <w:footnoteRef/>
        <w:t xml:space="preserve"> </w:t>
      </w:r>
      <w:r>
        <w:rPr/>
        <w:t xml:space="preserve"> Luc, VI, 37. Comparez </w:t>
      </w:r>
      <w:r>
        <w:rPr>
          <w:i/>
        </w:rPr>
        <w:t xml:space="preserve">Lévit</w:t>
      </w:r>
      <w:r>
        <w:rPr/>
        <w:t xml:space="preserve">., XIX, 18 ; </w:t>
      </w:r>
      <w:r>
        <w:rPr>
          <w:i/>
        </w:rPr>
        <w:t xml:space="preserve">Prov</w:t>
      </w:r>
      <w:r>
        <w:rPr/>
        <w:t xml:space="preserve">., XX, 22 ; </w:t>
      </w:r>
      <w:r>
        <w:rPr>
          <w:i/>
        </w:rPr>
        <w:t xml:space="preserve">Ecclésiastique</w:t>
      </w:r>
      <w:r>
        <w:rPr/>
        <w:t xml:space="preserve">, XXVIII, 1 et suiv.</w:t>
      </w:r>
    </w:p>
  </w:footnote>
  <w:footnote w:id="237">
    <w:p>
      <w:pPr>
        <w:pStyle w:val="Notedebasdepage"/>
      </w:pPr>
      <w:r>
        <w:rPr>
          <w:rStyle w:val="Appelnotedebasdep"/>
        </w:rPr>
        <w:footnoteRef/>
        <w:t xml:space="preserve"> </w:t>
      </w:r>
      <w:r>
        <w:rPr/>
        <w:t xml:space="preserve"> Luc, VI, 36 ; Siphré, 54 </w:t>
      </w:r>
      <w:r>
        <w:rPr>
          <w:i/>
        </w:rPr>
        <w:t xml:space="preserve">b</w:t>
      </w:r>
      <w:r>
        <w:rPr/>
        <w:t xml:space="preserve"> (Sultzbach, 1802).</w:t>
      </w:r>
    </w:p>
  </w:footnote>
  <w:footnote w:id="238">
    <w:p>
      <w:pPr>
        <w:pStyle w:val="Notedebasdepage"/>
      </w:pPr>
      <w:r>
        <w:rPr>
          <w:rStyle w:val="Appelnotedebasdep"/>
        </w:rPr>
        <w:footnoteRef/>
        <w:t xml:space="preserve"> </w:t>
      </w:r>
      <w:r>
        <w:rPr/>
        <w:t xml:space="preserve"> Parole rapportée dans les </w:t>
      </w:r>
      <w:r>
        <w:rPr>
          <w:i/>
        </w:rPr>
        <w:t xml:space="preserve">Actes</w:t>
      </w:r>
      <w:r>
        <w:rPr/>
        <w:t xml:space="preserve">, XX, 33.</w:t>
      </w:r>
    </w:p>
  </w:footnote>
  <w:footnote w:id="239">
    <w:p>
      <w:pPr>
        <w:pStyle w:val="Notedebasdepage"/>
      </w:pPr>
      <w:r>
        <w:rPr>
          <w:rStyle w:val="Appelnotedebasdep"/>
        </w:rPr>
        <w:footnoteRef/>
        <w:t xml:space="preserve"> </w:t>
      </w:r>
      <w:r>
        <w:rPr/>
        <w:t xml:space="preserve"> Matth., XXIII, 12 ; Luc, XIV, 11 ; XVIII, 14. Les sentences rapportées par saint Jérôme d’après l’« Évangile selon les Hébreux » (Comment, in </w:t>
      </w:r>
      <w:r>
        <w:rPr>
          <w:i/>
        </w:rPr>
        <w:t xml:space="preserve">Epist. ad Ephes</w:t>
      </w:r>
      <w:r>
        <w:rPr/>
        <w:t xml:space="preserve">., V, 4 ; in Ezech., XVIII ; </w:t>
      </w:r>
      <w:r>
        <w:rPr>
          <w:i/>
        </w:rPr>
        <w:t xml:space="preserve">Dial. adv. Pelag</w:t>
      </w:r>
      <w:r>
        <w:rPr/>
        <w:t xml:space="preserve">., III, 2), sont empreintes du même esprit.</w:t>
      </w:r>
    </w:p>
  </w:footnote>
  <w:footnote w:id="240">
    <w:p>
      <w:pPr>
        <w:pStyle w:val="Notedebasdepage"/>
      </w:pPr>
      <w:r>
        <w:rPr>
          <w:rStyle w:val="Appelnotedebasdep"/>
        </w:rPr>
        <w:footnoteRef/>
        <w:t xml:space="preserve"> </w:t>
      </w:r>
      <w:r>
        <w:rPr>
          <w:i/>
        </w:rPr>
        <w:t xml:space="preserve">Deutér</w:t>
      </w:r>
      <w:r>
        <w:rPr/>
        <w:t xml:space="preserve">., XXIV, XXV, XXVI, etc. ; Is., LVIII, 7 ; </w:t>
      </w:r>
      <w:r>
        <w:rPr>
          <w:i/>
        </w:rPr>
        <w:t xml:space="preserve">Prov</w:t>
      </w:r>
      <w:r>
        <w:rPr/>
        <w:t xml:space="preserve">., XIX, 17 ; </w:t>
      </w:r>
      <w:r>
        <w:rPr>
          <w:i/>
        </w:rPr>
        <w:t xml:space="preserve">Pirké Aboth, i</w:t>
      </w:r>
      <w:r>
        <w:rPr/>
        <w:t xml:space="preserve"> ; Talmud de Jérusalem, </w:t>
      </w:r>
      <w:r>
        <w:rPr>
          <w:i/>
        </w:rPr>
        <w:t xml:space="preserve">Peah, i</w:t>
      </w:r>
      <w:r>
        <w:rPr/>
        <w:t xml:space="preserve">, 1 ; Talmud de Babylone, </w:t>
      </w:r>
      <w:r>
        <w:rPr>
          <w:i/>
        </w:rPr>
        <w:t xml:space="preserve">Schabbath</w:t>
      </w:r>
      <w:r>
        <w:rPr/>
        <w:t xml:space="preserve">, 63 </w:t>
      </w:r>
      <w:r>
        <w:rPr>
          <w:i/>
        </w:rPr>
        <w:t xml:space="preserve">a</w:t>
      </w:r>
      <w:r>
        <w:rPr/>
        <w:t xml:space="preserve">.</w:t>
      </w:r>
    </w:p>
  </w:footnote>
  <w:footnote w:id="241">
    <w:p>
      <w:pPr>
        <w:pStyle w:val="Notedebasdepage"/>
      </w:pPr>
      <w:r>
        <w:rPr>
          <w:rStyle w:val="Appelnotedebasdep"/>
        </w:rPr>
        <w:footnoteRef/>
        <w:t xml:space="preserve"> </w:t>
      </w:r>
      <w:r>
        <w:rPr/>
        <w:t xml:space="preserve">Matth., V, 20 et suiv.</w:t>
      </w:r>
    </w:p>
  </w:footnote>
  <w:footnote w:id="242">
    <w:p>
      <w:pPr>
        <w:pStyle w:val="Notedebasdepage"/>
      </w:pPr>
      <w:r>
        <w:rPr>
          <w:rStyle w:val="Appelnotedebasdep"/>
        </w:rPr>
        <w:footnoteRef/>
        <w:t xml:space="preserve"> </w:t>
      </w:r>
      <w:r>
        <w:rPr/>
        <w:t xml:space="preserve">Matth., V, 22.</w:t>
      </w:r>
    </w:p>
  </w:footnote>
  <w:footnote w:id="243">
    <w:p>
      <w:pPr>
        <w:pStyle w:val="Notedebasdepage"/>
      </w:pPr>
      <w:r>
        <w:rPr>
          <w:rStyle w:val="Appelnotedebasdep"/>
        </w:rPr>
        <w:footnoteRef/>
        <w:t xml:space="preserve"> </w:t>
      </w:r>
      <w:r>
        <w:rPr/>
        <w:t xml:space="preserve"> Matth., V, 31 et suiv. Comparez Talmud de Babylone, </w:t>
      </w:r>
      <w:r>
        <w:rPr>
          <w:i/>
        </w:rPr>
        <w:t xml:space="preserve">Sanhédrin</w:t>
      </w:r>
      <w:r>
        <w:rPr/>
        <w:t xml:space="preserve">, 22 </w:t>
      </w:r>
      <w:r>
        <w:rPr>
          <w:i/>
        </w:rPr>
        <w:t xml:space="preserve">a</w:t>
      </w:r>
      <w:r>
        <w:rPr/>
        <w:t xml:space="preserve">.</w:t>
      </w:r>
    </w:p>
  </w:footnote>
  <w:footnote w:id="244">
    <w:p>
      <w:pPr>
        <w:pStyle w:val="Notedebasdepage"/>
      </w:pPr>
      <w:r>
        <w:rPr>
          <w:rStyle w:val="Appelnotedebasdep"/>
        </w:rPr>
        <w:footnoteRef/>
        <w:t xml:space="preserve"> </w:t>
      </w:r>
      <w:r>
        <w:rPr/>
        <w:t xml:space="preserve">Matth., V, 33 et suiv.</w:t>
      </w:r>
    </w:p>
  </w:footnote>
  <w:footnote w:id="245">
    <w:p>
      <w:pPr>
        <w:pStyle w:val="Notedebasdepage"/>
      </w:pPr>
      <w:r>
        <w:rPr>
          <w:rStyle w:val="Appelnotedebasdep"/>
        </w:rPr>
        <w:footnoteRef/>
        <w:t xml:space="preserve"> </w:t>
      </w:r>
      <w:r>
        <w:rPr/>
        <w:t xml:space="preserve">Matth., V, 38 et suiv.</w:t>
      </w:r>
    </w:p>
  </w:footnote>
  <w:footnote w:id="246">
    <w:p>
      <w:pPr>
        <w:pStyle w:val="Notedebasdepage"/>
      </w:pPr>
      <w:r>
        <w:rPr>
          <w:rStyle w:val="Appelnotedebasdep"/>
        </w:rPr>
        <w:footnoteRef/>
        <w:t xml:space="preserve"> </w:t>
      </w:r>
      <w:r>
        <w:rPr/>
        <w:t xml:space="preserve"> Matth., V, 42. La Loi l’interdisait aussi (</w:t>
      </w:r>
      <w:r>
        <w:rPr>
          <w:i/>
        </w:rPr>
        <w:t xml:space="preserve">Deutér</w:t>
      </w:r>
      <w:r>
        <w:rPr/>
        <w:t xml:space="preserve">., XV, 7-8), mais moins formellement, et l’usage l’autorisait (Luc, VII, 41 et suiv.).</w:t>
      </w:r>
    </w:p>
  </w:footnote>
  <w:footnote w:id="247">
    <w:p>
      <w:pPr>
        <w:pStyle w:val="Notedebasdepage"/>
      </w:pPr>
      <w:r>
        <w:rPr>
          <w:rStyle w:val="Appelnotedebasdep"/>
        </w:rPr>
        <w:footnoteRef/>
        <w:t xml:space="preserve"> </w:t>
      </w:r>
      <w:r>
        <w:rPr/>
        <w:t xml:space="preserve"> Matth., XXVII, 28. Comparez Talmud, </w:t>
      </w:r>
      <w:r>
        <w:rPr>
          <w:i/>
        </w:rPr>
        <w:t xml:space="preserve">Masseket Kalla</w:t>
      </w:r>
      <w:r>
        <w:rPr/>
        <w:t xml:space="preserve"> (édit. Fürth, 1793), fol. 34 </w:t>
      </w:r>
      <w:r>
        <w:rPr>
          <w:i/>
        </w:rPr>
        <w:t xml:space="preserve">b</w:t>
      </w:r>
      <w:r>
        <w:rPr/>
        <w:t xml:space="preserve">.</w:t>
      </w:r>
    </w:p>
  </w:footnote>
  <w:footnote w:id="248">
    <w:p>
      <w:pPr>
        <w:pStyle w:val="Notedebasdepage"/>
      </w:pPr>
      <w:r>
        <w:rPr>
          <w:rStyle w:val="Appelnotedebasdep"/>
        </w:rPr>
        <w:footnoteRef/>
        <w:t xml:space="preserve"> </w:t>
      </w:r>
      <w:r>
        <w:rPr/>
        <w:t xml:space="preserve">Matth., V, 23 et suiv.</w:t>
      </w:r>
    </w:p>
  </w:footnote>
  <w:footnote w:id="249">
    <w:p>
      <w:pPr>
        <w:pStyle w:val="Notedebasdepage"/>
      </w:pPr>
      <w:r>
        <w:rPr>
          <w:rStyle w:val="Appelnotedebasdep"/>
        </w:rPr>
        <w:footnoteRef/>
        <w:t xml:space="preserve"> </w:t>
      </w:r>
      <w:r>
        <w:rPr/>
        <w:t xml:space="preserve"> Matth., V, 45 et suiv. Comparez </w:t>
      </w:r>
      <w:r>
        <w:rPr>
          <w:i/>
        </w:rPr>
        <w:t xml:space="preserve">Lévit</w:t>
      </w:r>
      <w:r>
        <w:rPr/>
        <w:t xml:space="preserve">., </w:t>
      </w:r>
      <w:r>
        <w:rPr/>
        <w:t xml:space="preserve">xi</w:t>
      </w:r>
      <w:r>
        <w:rPr/>
        <w:t xml:space="preserve">, 44 ; XIX, 2.</w:t>
      </w:r>
    </w:p>
  </w:footnote>
  <w:footnote w:id="250">
    <w:p>
      <w:pPr>
        <w:pStyle w:val="Notedebasdepage"/>
      </w:pPr>
      <w:r>
        <w:rPr>
          <w:rStyle w:val="Appelnotedebasdep"/>
        </w:rPr>
        <w:footnoteRef/>
        <w:t xml:space="preserve"> </w:t>
      </w:r>
      <w:r>
        <w:rPr/>
        <w:t xml:space="preserve"> Comparez Philon, </w:t>
      </w:r>
      <w:r>
        <w:rPr>
          <w:i/>
        </w:rPr>
        <w:t xml:space="preserve">De migr. Abr</w:t>
      </w:r>
      <w:r>
        <w:rPr/>
        <w:t xml:space="preserve">., § 23 et 24 ; </w:t>
      </w:r>
      <w:r>
        <w:rPr>
          <w:i/>
        </w:rPr>
        <w:t xml:space="preserve">De vita contemplativa</w:t>
      </w:r>
      <w:r>
        <w:rPr/>
        <w:t xml:space="preserve">, en entier.</w:t>
      </w:r>
    </w:p>
  </w:footnote>
  <w:footnote w:id="251">
    <w:p>
      <w:pPr>
        <w:pStyle w:val="Notedebasdepage"/>
      </w:pPr>
      <w:r>
        <w:rPr>
          <w:rStyle w:val="Appelnotedebasdep"/>
        </w:rPr>
        <w:footnoteRef/>
        <w:t xml:space="preserve"> </w:t>
      </w:r>
      <w:r>
        <w:rPr/>
        <w:t xml:space="preserve">Matth., XV, 11 et suiv. ; Marc, VII, 6 et suiv.</w:t>
      </w:r>
    </w:p>
  </w:footnote>
  <w:footnote w:id="252">
    <w:p>
      <w:pPr>
        <w:pStyle w:val="Notedebasdepage"/>
      </w:pPr>
      <w:r>
        <w:rPr>
          <w:rStyle w:val="Appelnotedebasdep"/>
        </w:rPr>
        <w:footnoteRef/>
        <w:t xml:space="preserve"> </w:t>
      </w:r>
      <w:r>
        <w:rPr/>
        <w:t xml:space="preserve">Marc, VII, 6 et suiv.</w:t>
      </w:r>
    </w:p>
  </w:footnote>
  <w:footnote w:id="253">
    <w:p>
      <w:pPr>
        <w:pStyle w:val="Notedebasdepage"/>
      </w:pPr>
      <w:r>
        <w:rPr>
          <w:rStyle w:val="Appelnotedebasdep"/>
        </w:rPr>
        <w:footnoteRef/>
        <w:t xml:space="preserve"> </w:t>
      </w:r>
      <w:r>
        <w:rPr/>
        <w:t xml:space="preserve"> Matth., VI, 4 et suiv. Comparez </w:t>
      </w:r>
      <w:r>
        <w:rPr>
          <w:i/>
        </w:rPr>
        <w:t xml:space="preserve">Ecclésiastique</w:t>
      </w:r>
      <w:r>
        <w:rPr/>
        <w:t xml:space="preserve"> XVII, 18 ; XXIX, 15 ; Talm. de Bab., </w:t>
      </w:r>
      <w:r>
        <w:rPr>
          <w:i/>
        </w:rPr>
        <w:t xml:space="preserve">Chagiga</w:t>
      </w:r>
      <w:r>
        <w:rPr/>
        <w:t xml:space="preserve">, 5 </w:t>
      </w:r>
      <w:r>
        <w:rPr>
          <w:i/>
        </w:rPr>
        <w:t xml:space="preserve">a</w:t>
      </w:r>
      <w:r>
        <w:rPr/>
        <w:t xml:space="preserve"> ; </w:t>
      </w:r>
      <w:r>
        <w:rPr>
          <w:i/>
        </w:rPr>
        <w:t xml:space="preserve">Baba Bathra</w:t>
      </w:r>
      <w:r>
        <w:rPr/>
        <w:t xml:space="preserve">, 9 </w:t>
      </w:r>
      <w:r>
        <w:rPr>
          <w:i/>
        </w:rPr>
        <w:t xml:space="preserve">b</w:t>
      </w:r>
      <w:r>
        <w:rPr/>
        <w:t xml:space="preserve">.</w:t>
      </w:r>
    </w:p>
  </w:footnote>
  <w:footnote w:id="254">
    <w:p>
      <w:pPr>
        <w:pStyle w:val="Notedebasdepage"/>
      </w:pPr>
      <w:r>
        <w:rPr>
          <w:rStyle w:val="Appelnotedebasdep"/>
        </w:rPr>
        <w:footnoteRef/>
        <w:t xml:space="preserve"> </w:t>
      </w:r>
      <w:r>
        <w:rPr/>
        <w:t xml:space="preserve">Matth., VI, 5-8.</w:t>
      </w:r>
    </w:p>
  </w:footnote>
  <w:footnote w:id="255">
    <w:p>
      <w:pPr>
        <w:pStyle w:val="Notedebasdepage"/>
      </w:pPr>
      <w:r>
        <w:rPr>
          <w:rStyle w:val="Appelnotedebasdep"/>
        </w:rPr>
        <w:footnoteRef/>
        <w:t xml:space="preserve"> </w:t>
      </w:r>
      <w:r>
        <w:rPr/>
        <w:t xml:space="preserve">Matth., XIV, 23 ; Luc, IV, 42 ; V, 16 ; VI, 12.</w:t>
      </w:r>
    </w:p>
  </w:footnote>
  <w:footnote w:id="256">
    <w:p>
      <w:pPr>
        <w:pStyle w:val="Notedebasdepage"/>
      </w:pPr>
      <w:r>
        <w:rPr>
          <w:rStyle w:val="Appelnotedebasdep"/>
        </w:rPr>
        <w:footnoteRef/>
        <w:t xml:space="preserve"> </w:t>
      </w:r>
      <w:r>
        <w:rPr/>
        <w:t xml:space="preserve"> Matth., VI, 9 et suiv ; Luc, </w:t>
      </w:r>
      <w:r>
        <w:rPr/>
        <w:t xml:space="preserve">xi</w:t>
      </w:r>
      <w:r>
        <w:rPr/>
        <w:t xml:space="preserve">, 2 et suiv.</w:t>
      </w:r>
    </w:p>
  </w:footnote>
  <w:footnote w:id="257">
    <w:p>
      <w:pPr>
        <w:pStyle w:val="Notedebasdepage"/>
      </w:pPr>
      <w:r>
        <w:rPr>
          <w:rStyle w:val="Appelnotedebasdep"/>
        </w:rPr>
        <w:footnoteRef/>
        <w:t xml:space="preserve"> </w:t>
      </w:r>
      <w:r>
        <w:rPr/>
        <w:t xml:space="preserve">C’est-à-dire du démon.</w:t>
      </w:r>
    </w:p>
  </w:footnote>
  <w:footnote w:id="258">
    <w:p>
      <w:pPr>
        <w:pStyle w:val="Notedebasdepage"/>
      </w:pPr>
      <w:r>
        <w:rPr>
          <w:rStyle w:val="Appelnotedebasdep"/>
        </w:rPr>
        <w:footnoteRef/>
        <w:t xml:space="preserve"> </w:t>
      </w:r>
      <w:r>
        <w:rPr/>
        <w:t xml:space="preserve"> Luc, </w:t>
      </w:r>
      <w:r>
        <w:rPr/>
        <w:t xml:space="preserve">xi</w:t>
      </w:r>
      <w:r>
        <w:rPr/>
        <w:t xml:space="preserve">, 5 et suiv.</w:t>
      </w:r>
    </w:p>
  </w:footnote>
  <w:footnote w:id="259">
    <w:p>
      <w:pPr>
        <w:pStyle w:val="Notedebasdepage"/>
      </w:pPr>
      <w:r>
        <w:rPr>
          <w:rStyle w:val="Appelnotedebasdep"/>
        </w:rPr>
        <w:footnoteRef/>
        <w:t xml:space="preserve"> </w:t>
      </w:r>
      <w:r>
        <w:rPr/>
        <w:t xml:space="preserve">Matth., V, 23-24.</w:t>
      </w:r>
    </w:p>
  </w:footnote>
  <w:footnote w:id="260">
    <w:p>
      <w:pPr>
        <w:pStyle w:val="Notedebasdepage"/>
      </w:pPr>
      <w:r>
        <w:rPr>
          <w:rStyle w:val="Appelnotedebasdep"/>
        </w:rPr>
        <w:footnoteRef/>
        <w:t xml:space="preserve"> </w:t>
      </w:r>
      <w:r>
        <w:rPr/>
        <w:t xml:space="preserve"> Isaïe, </w:t>
      </w:r>
      <w:r>
        <w:rPr/>
        <w:t xml:space="preserve">i</w:t>
      </w:r>
      <w:r>
        <w:rPr/>
        <w:t xml:space="preserve">, 11 et suiv. Comparez </w:t>
      </w:r>
      <w:r>
        <w:rPr>
          <w:i/>
        </w:rPr>
        <w:t xml:space="preserve">ibid.</w:t>
      </w:r>
      <w:r>
        <w:rPr/>
        <w:t xml:space="preserve">, LVIII entier ; Osée, VI, 6 ; Malachie, i, 40 et suiv.</w:t>
      </w:r>
    </w:p>
  </w:footnote>
  <w:footnote w:id="261">
    <w:p>
      <w:pPr>
        <w:pStyle w:val="Notedebasdepage"/>
      </w:pPr>
      <w:r>
        <w:rPr>
          <w:rStyle w:val="Appelnotedebasdep"/>
        </w:rPr>
        <w:footnoteRef/>
        <w:t xml:space="preserve"> </w:t>
      </w:r>
      <w:r>
        <w:rPr>
          <w:i/>
        </w:rPr>
        <w:t xml:space="preserve">Pirké Aboth</w:t>
      </w:r>
      <w:r>
        <w:rPr/>
        <w:t xml:space="preserve">, </w:t>
      </w:r>
      <w:r>
        <w:rPr/>
        <w:t xml:space="preserve">i</w:t>
      </w:r>
      <w:r>
        <w:rPr/>
        <w:t xml:space="preserve">, 2.</w:t>
      </w:r>
    </w:p>
  </w:footnote>
  <w:footnote w:id="262">
    <w:p>
      <w:pPr>
        <w:pStyle w:val="Notedebasdepage"/>
      </w:pPr>
      <w:r>
        <w:rPr>
          <w:rStyle w:val="Appelnotedebasdep"/>
        </w:rPr>
        <w:footnoteRef/>
        <w:t xml:space="preserve"> </w:t>
      </w:r>
      <w:r>
        <w:rPr>
          <w:i/>
        </w:rPr>
        <w:t xml:space="preserve">Ecclésiastique</w:t>
      </w:r>
      <w:r>
        <w:rPr/>
        <w:t xml:space="preserve">, XXXV, 1 et suiv.</w:t>
      </w:r>
    </w:p>
  </w:footnote>
  <w:footnote w:id="263">
    <w:p>
      <w:pPr>
        <w:pStyle w:val="Notedebasdepage"/>
      </w:pPr>
      <w:r>
        <w:rPr>
          <w:rStyle w:val="Appelnotedebasdep"/>
        </w:rPr>
        <w:footnoteRef/>
        <w:t xml:space="preserve"> </w:t>
      </w:r>
      <w:r>
        <w:rPr/>
        <w:t xml:space="preserve"> Talm. de Jérus., </w:t>
      </w:r>
      <w:r>
        <w:rPr>
          <w:i/>
        </w:rPr>
        <w:t xml:space="preserve">Pesachim</w:t>
      </w:r>
      <w:r>
        <w:rPr/>
        <w:t xml:space="preserve">, VI, I ; Talm. de Bab., même traité, 66 </w:t>
      </w:r>
      <w:r>
        <w:rPr>
          <w:i/>
        </w:rPr>
        <w:t xml:space="preserve">a</w:t>
      </w:r>
      <w:r>
        <w:rPr/>
        <w:t xml:space="preserve"> ; </w:t>
      </w:r>
      <w:r>
        <w:rPr>
          <w:i/>
        </w:rPr>
        <w:t xml:space="preserve">Schabbath</w:t>
      </w:r>
      <w:r>
        <w:rPr/>
        <w:t xml:space="preserve">, 34 </w:t>
      </w:r>
      <w:r>
        <w:rPr>
          <w:i/>
        </w:rPr>
        <w:t xml:space="preserve">a</w:t>
      </w:r>
      <w:r>
        <w:rPr/>
        <w:t xml:space="preserve">.</w:t>
      </w:r>
    </w:p>
  </w:footnote>
  <w:footnote w:id="264">
    <w:p>
      <w:pPr>
        <w:pStyle w:val="Notedebasdepage"/>
      </w:pPr>
      <w:r>
        <w:rPr>
          <w:rStyle w:val="Appelnotedebasdep"/>
        </w:rPr>
        <w:footnoteRef/>
        <w:t xml:space="preserve"> </w:t>
      </w:r>
      <w:r>
        <w:rPr/>
        <w:t xml:space="preserve"> Quod Deus immut., § 1 et 2 ; De Abrahamo, § 22 ; Quis rerum divin. hæres, § 13 et suiv., 55, 58 et suiv. ; De profugis, 7 et 8 ; Quod omnis probus liber, en entier ; De vita contemplativa, en entier.</w:t>
      </w:r>
    </w:p>
  </w:footnote>
  <w:footnote w:id="265">
    <w:p>
      <w:pPr>
        <w:pStyle w:val="Notedebasdepage"/>
      </w:pPr>
      <w:r>
        <w:rPr>
          <w:rStyle w:val="Appelnotedebasdep"/>
        </w:rPr>
        <w:footnoteRef/>
        <w:t xml:space="preserve"> </w:t>
      </w:r>
      <w:r>
        <w:rPr/>
        <w:t xml:space="preserve"> Talm. de Bab., </w:t>
      </w:r>
      <w:r>
        <w:rPr>
          <w:i/>
        </w:rPr>
        <w:t xml:space="preserve">Pesachim</w:t>
      </w:r>
      <w:r>
        <w:rPr/>
        <w:t xml:space="preserve">, 67 </w:t>
      </w:r>
      <w:r>
        <w:rPr>
          <w:i/>
        </w:rPr>
        <w:t xml:space="preserve">b</w:t>
      </w:r>
      <w:r>
        <w:rPr/>
        <w:t xml:space="preserve">.</w:t>
      </w:r>
    </w:p>
  </w:footnote>
  <w:footnote w:id="266">
    <w:p>
      <w:pPr>
        <w:pStyle w:val="Notedebasdepage"/>
      </w:pPr>
      <w:r>
        <w:rPr>
          <w:rStyle w:val="Appelnotedebasdep"/>
        </w:rPr>
        <w:footnoteRef/>
        <w:t xml:space="preserve"> </w:t>
      </w:r>
      <w:r>
        <w:rPr/>
        <w:t xml:space="preserve"> Talmud de Jérusalem, </w:t>
      </w:r>
      <w:r>
        <w:rPr>
          <w:i/>
        </w:rPr>
        <w:t xml:space="preserve">Peah</w:t>
      </w:r>
      <w:r>
        <w:rPr/>
        <w:t xml:space="preserve">, </w:t>
      </w:r>
      <w:r>
        <w:rPr/>
        <w:t xml:space="preserve">i</w:t>
      </w:r>
      <w:r>
        <w:rPr/>
        <w:t xml:space="preserve">, 1.</w:t>
      </w:r>
    </w:p>
  </w:footnote>
  <w:footnote w:id="267">
    <w:p>
      <w:pPr>
        <w:pStyle w:val="Notedebasdepage"/>
      </w:pPr>
      <w:r>
        <w:rPr>
          <w:rStyle w:val="Appelnotedebasdep"/>
        </w:rPr>
        <w:footnoteRef/>
        <w:t xml:space="preserve"> </w:t>
      </w:r>
      <w:r>
        <w:rPr/>
        <w:t xml:space="preserve"> Matth., VII, 4-5. Comparez Talmud de Babylone, </w:t>
      </w:r>
      <w:r>
        <w:rPr>
          <w:i/>
        </w:rPr>
        <w:t xml:space="preserve">Baba Bathra</w:t>
      </w:r>
      <w:r>
        <w:rPr/>
        <w:t xml:space="preserve">, 15 </w:t>
      </w:r>
      <w:r>
        <w:rPr>
          <w:i/>
        </w:rPr>
        <w:t xml:space="preserve">b</w:t>
      </w:r>
      <w:r>
        <w:rPr/>
        <w:t xml:space="preserve"> ; </w:t>
      </w:r>
      <w:r>
        <w:rPr>
          <w:i/>
        </w:rPr>
        <w:t xml:space="preserve">Erachin</w:t>
      </w:r>
      <w:r>
        <w:rPr/>
        <w:t xml:space="preserve">, 16 </w:t>
      </w:r>
      <w:r>
        <w:rPr>
          <w:i/>
        </w:rPr>
        <w:t xml:space="preserve">b</w:t>
      </w:r>
      <w:r>
        <w:rPr/>
        <w:t xml:space="preserve">.</w:t>
      </w:r>
    </w:p>
  </w:footnote>
  <w:footnote w:id="268">
    <w:p>
      <w:pPr>
        <w:pStyle w:val="Notedebasdepage"/>
      </w:pPr>
      <w:r>
        <w:rPr>
          <w:rStyle w:val="Appelnotedebasdep"/>
        </w:rPr>
        <w:footnoteRef/>
        <w:t xml:space="preserve"> </w:t>
      </w:r>
      <w:r>
        <w:rPr/>
        <w:t xml:space="preserve"> Voir surtout </w:t>
      </w:r>
      <w:r>
        <w:rPr>
          <w:i/>
        </w:rPr>
        <w:t xml:space="preserve">Pirké Aboth</w:t>
      </w:r>
      <w:r>
        <w:rPr/>
        <w:t xml:space="preserve">, ch. 1.</w:t>
      </w:r>
    </w:p>
  </w:footnote>
  <w:footnote w:id="269">
    <w:p>
      <w:pPr>
        <w:pStyle w:val="Notedebasdepage"/>
      </w:pPr>
      <w:r>
        <w:rPr>
          <w:rStyle w:val="Appelnotedebasdep"/>
        </w:rPr>
        <w:footnoteRef/>
        <w:t xml:space="preserve"> </w:t>
      </w:r>
      <w:r>
        <w:rPr/>
        <w:t xml:space="preserve">Le Talmud, résumé de ce vaste mouvement d’écoles, ne commença guère à être écrit qu’au deuxième siècle de notre ère.</w:t>
      </w:r>
    </w:p>
  </w:footnote>
  <w:footnote w:id="270">
    <w:p>
      <w:pPr>
        <w:pStyle w:val="Notedebasdepage"/>
      </w:pPr>
      <w:r>
        <w:rPr>
          <w:rStyle w:val="Appelnotedebasdep"/>
        </w:rPr>
        <w:footnoteRef/>
        <w:t xml:space="preserve"> </w:t>
      </w:r>
      <w:r>
        <w:rPr/>
        <w:t xml:space="preserve"> Luc, </w:t>
      </w:r>
      <w:r>
        <w:rPr/>
        <w:t xml:space="preserve">i</w:t>
      </w:r>
      <w:r>
        <w:rPr/>
        <w:t xml:space="preserve">, 5 ; passage de l’évangile des Ébionim, conservé par Épiphane </w:t>
      </w:r>
      <w:r>
        <w:rPr>
          <w:i/>
        </w:rPr>
        <w:t xml:space="preserve">(Adv. hær</w:t>
      </w:r>
      <w:r>
        <w:rPr/>
        <w:t xml:space="preserve">., XXX, 13).</w:t>
      </w:r>
    </w:p>
  </w:footnote>
  <w:footnote w:id="271">
    <w:p>
      <w:pPr>
        <w:pStyle w:val="Notedebasdepage"/>
      </w:pPr>
      <w:r>
        <w:rPr>
          <w:rStyle w:val="Appelnotedebasdep"/>
        </w:rPr>
        <w:footnoteRef/>
        <w:t xml:space="preserve"> </w:t>
      </w:r>
      <w:r>
        <w:rPr/>
        <w:t xml:space="preserve"> Luc, I, 39. On a proposé, non sans vraisemblance, de voir dans « la ville de Juda » nommée en cet endroit de Luc la ville de </w:t>
      </w:r>
      <w:r>
        <w:rPr>
          <w:i/>
        </w:rPr>
        <w:t xml:space="preserve">Jutta</w:t>
      </w:r>
      <w:r>
        <w:rPr/>
        <w:t xml:space="preserve"> (Josué, XV, 55 ; XXI, 16). Robinson </w:t>
      </w:r>
      <w:r>
        <w:rPr>
          <w:i/>
        </w:rPr>
        <w:t xml:space="preserve">(Biblical Researches</w:t>
      </w:r>
      <w:r>
        <w:rPr/>
        <w:t xml:space="preserve">, I, 494 ; II, 206) a retrouvé cette </w:t>
      </w:r>
      <w:r>
        <w:rPr>
          <w:i/>
        </w:rPr>
        <w:t xml:space="preserve">Jutta</w:t>
      </w:r>
      <w:r>
        <w:rPr/>
        <w:t xml:space="preserve"> portant encore le même nom, à deux petites heures au sud d’Hébron.</w:t>
      </w:r>
    </w:p>
  </w:footnote>
  <w:footnote w:id="272">
    <w:p>
      <w:pPr>
        <w:pStyle w:val="Notedebasdepage"/>
      </w:pPr>
      <w:r>
        <w:rPr>
          <w:rStyle w:val="Appelnotedebasdep"/>
        </w:rPr>
        <w:footnoteRef/>
        <w:t xml:space="preserve"> </w:t>
      </w:r>
      <w:r>
        <w:rPr/>
        <w:t xml:space="preserve"> Luc, </w:t>
      </w:r>
      <w:r>
        <w:rPr/>
        <w:t xml:space="preserve">i</w:t>
      </w:r>
      <w:r>
        <w:rPr/>
        <w:t xml:space="preserve">, 15.</w:t>
      </w:r>
    </w:p>
  </w:footnote>
  <w:footnote w:id="273">
    <w:p>
      <w:pPr>
        <w:pStyle w:val="Notedebasdepage"/>
      </w:pPr>
      <w:r>
        <w:rPr>
          <w:rStyle w:val="Appelnotedebasdep"/>
        </w:rPr>
        <w:footnoteRef/>
        <w:t xml:space="preserve"> </w:t>
      </w:r>
      <w:r>
        <w:rPr/>
        <w:t xml:space="preserve"> Luc, </w:t>
      </w:r>
      <w:r>
        <w:rPr/>
        <w:t xml:space="preserve">i</w:t>
      </w:r>
      <w:r>
        <w:rPr/>
        <w:t xml:space="preserve">, 80.</w:t>
      </w:r>
    </w:p>
  </w:footnote>
  <w:footnote w:id="274">
    <w:p>
      <w:pPr>
        <w:pStyle w:val="Notedebasdepage"/>
      </w:pPr>
      <w:r>
        <w:rPr>
          <w:rStyle w:val="Appelnotedebasdep"/>
        </w:rPr>
        <w:footnoteRef/>
        <w:t xml:space="preserve"> </w:t>
      </w:r>
      <w:r>
        <w:rPr/>
        <w:t xml:space="preserve"> Matth., III, 4 ; Marc, </w:t>
      </w:r>
      <w:r>
        <w:rPr/>
        <w:t xml:space="preserve">i</w:t>
      </w:r>
      <w:r>
        <w:rPr/>
        <w:t xml:space="preserve">, 6 ; fragm. de l’évang. des Ébionim, dans Épiph., </w:t>
      </w:r>
      <w:r>
        <w:rPr>
          <w:i/>
        </w:rPr>
        <w:t xml:space="preserve">Adv. hær</w:t>
      </w:r>
      <w:r>
        <w:rPr/>
        <w:t xml:space="preserve">., XXX, 43.</w:t>
      </w:r>
    </w:p>
  </w:footnote>
  <w:footnote w:id="275">
    <w:p>
      <w:pPr>
        <w:pStyle w:val="Notedebasdepage"/>
      </w:pPr>
      <w:r>
        <w:rPr>
          <w:rStyle w:val="Appelnotedebasdep"/>
        </w:rPr>
        <w:footnoteRef/>
        <w:t xml:space="preserve"> </w:t>
      </w:r>
      <w:r>
        <w:rPr/>
        <w:t xml:space="preserve"> Malachie, III, 23-24 (IV, 5-6 selon la Vulg.) ; </w:t>
      </w:r>
      <w:r>
        <w:rPr>
          <w:i/>
        </w:rPr>
        <w:t xml:space="preserve">Ecclésiastique</w:t>
      </w:r>
      <w:r>
        <w:rPr/>
        <w:t xml:space="preserve">, XLVIII, 10 ; Matth., XVI, 14 ; XVII, 40 et suiv. ; Marc, VI, 15 ; VIII, 28 ; IX, 10 et suiv. ; Luc, IX, 8, 19 ; Jean, </w:t>
      </w:r>
      <w:r>
        <w:rPr/>
        <w:t xml:space="preserve">i</w:t>
      </w:r>
      <w:r>
        <w:rPr/>
        <w:t xml:space="preserve">, 21, 25.</w:t>
      </w:r>
    </w:p>
  </w:footnote>
  <w:footnote w:id="276">
    <w:p>
      <w:pPr>
        <w:pStyle w:val="Notedebasdepage"/>
      </w:pPr>
      <w:r>
        <w:rPr>
          <w:rStyle w:val="Appelnotedebasdep"/>
        </w:rPr>
        <w:footnoteRef/>
        <w:t xml:space="preserve"> </w:t>
      </w:r>
      <w:r>
        <w:rPr/>
        <w:t xml:space="preserve">Le féroce Abdallah, pacha de Saint-Jean-d’Acre, pensa mourir de frayeur pour l’avoir vu en rêve, dressé debout sur sa montagne. Dans les tableaux des églises chrétiennes, on le voit entouré de têtes coupées ; les musulmans ont peur de lui.</w:t>
      </w:r>
    </w:p>
  </w:footnote>
  <w:footnote w:id="277">
    <w:p>
      <w:pPr>
        <w:pStyle w:val="Notedebasdepage"/>
      </w:pPr>
      <w:r>
        <w:rPr>
          <w:rStyle w:val="Appelnotedebasdep"/>
        </w:rPr>
        <w:footnoteRef/>
        <w:t xml:space="preserve"> </w:t>
      </w:r>
      <w:r>
        <w:rPr/>
        <w:t xml:space="preserve">Ascension d’haie, n, 9-44.</w:t>
      </w:r>
    </w:p>
  </w:footnote>
  <w:footnote w:id="278">
    <w:p>
      <w:pPr>
        <w:pStyle w:val="Notedebasdepage"/>
      </w:pPr>
      <w:r>
        <w:rPr>
          <w:rStyle w:val="Appelnotedebasdep"/>
        </w:rPr>
        <w:footnoteRef/>
        <w:t xml:space="preserve"> </w:t>
      </w:r>
      <w:r>
        <w:rPr/>
        <w:t xml:space="preserve"> Luc, </w:t>
      </w:r>
      <w:r>
        <w:rPr/>
        <w:t xml:space="preserve">i</w:t>
      </w:r>
      <w:r>
        <w:rPr/>
        <w:t xml:space="preserve">, 47.</w:t>
      </w:r>
    </w:p>
  </w:footnote>
  <w:footnote w:id="279">
    <w:p>
      <w:pPr>
        <w:pStyle w:val="Notedebasdepage"/>
      </w:pPr>
      <w:r>
        <w:rPr>
          <w:rStyle w:val="Appelnotedebasdep"/>
        </w:rPr>
        <w:footnoteRef/>
        <w:t xml:space="preserve"> </w:t>
      </w:r>
      <w:r>
        <w:rPr/>
        <w:t xml:space="preserve"> Pline, </w:t>
      </w:r>
      <w:r>
        <w:rPr>
          <w:i/>
        </w:rPr>
        <w:t xml:space="preserve">Hist. nat</w:t>
      </w:r>
      <w:r>
        <w:rPr/>
        <w:t xml:space="preserve">., V, 17 ; Epiph., </w:t>
      </w:r>
      <w:r>
        <w:rPr>
          <w:i/>
        </w:rPr>
        <w:t xml:space="preserve">Adv. hær</w:t>
      </w:r>
      <w:r>
        <w:rPr/>
        <w:t xml:space="preserve">., XIX, 1 et 2.</w:t>
      </w:r>
    </w:p>
  </w:footnote>
  <w:footnote w:id="280">
    <w:p>
      <w:pPr>
        <w:pStyle w:val="Notedebasdepage"/>
      </w:pPr>
      <w:r>
        <w:rPr>
          <w:rStyle w:val="Appelnotedebasdep"/>
        </w:rPr>
        <w:footnoteRef/>
        <w:t xml:space="preserve"> </w:t>
      </w:r>
      <w:r>
        <w:rPr/>
        <w:t xml:space="preserve"> Josèphe, </w:t>
      </w:r>
      <w:r>
        <w:rPr>
          <w:i/>
        </w:rPr>
        <w:t xml:space="preserve">Vita</w:t>
      </w:r>
      <w:r>
        <w:rPr/>
        <w:t xml:space="preserve">, 2.</w:t>
      </w:r>
    </w:p>
  </w:footnote>
  <w:footnote w:id="281">
    <w:p>
      <w:pPr>
        <w:pStyle w:val="Notedebasdepage"/>
      </w:pPr>
      <w:r>
        <w:rPr>
          <w:rStyle w:val="Appelnotedebasdep"/>
        </w:rPr>
        <w:footnoteRef/>
        <w:t xml:space="preserve"> </w:t>
      </w:r>
      <w:r>
        <w:rPr/>
        <w:t xml:space="preserve">Précepteurs spirituels.</w:t>
      </w:r>
    </w:p>
  </w:footnote>
  <w:footnote w:id="282">
    <w:p>
      <w:pPr>
        <w:pStyle w:val="Notedebasdepage"/>
      </w:pPr>
      <w:r>
        <w:rPr>
          <w:rStyle w:val="Appelnotedebasdep"/>
        </w:rPr>
        <w:footnoteRef/>
        <w:t xml:space="preserve"> </w:t>
      </w:r>
      <w:r>
        <w:rPr/>
        <w:t xml:space="preserve"> J’ai développé ce point ailleurs (</w:t>
      </w:r>
      <w:r>
        <w:rPr>
          <w:i/>
        </w:rPr>
        <w:t xml:space="preserve">Hist. génér. des langues sémitiques</w:t>
      </w:r>
      <w:r>
        <w:rPr/>
        <w:t xml:space="preserve">, III, IV, 1 ; </w:t>
      </w:r>
      <w:r>
        <w:rPr>
          <w:i/>
        </w:rPr>
        <w:t xml:space="preserve">Journ. Asiat</w:t>
      </w:r>
      <w:r>
        <w:rPr/>
        <w:t xml:space="preserve">., février-mars 1856).</w:t>
      </w:r>
    </w:p>
  </w:footnote>
  <w:footnote w:id="283">
    <w:p>
      <w:pPr>
        <w:pStyle w:val="Notedebasdepage"/>
      </w:pPr>
      <w:r>
        <w:rPr>
          <w:rStyle w:val="Appelnotedebasdep"/>
        </w:rPr>
        <w:footnoteRef/>
        <w:t xml:space="preserve"> </w:t>
      </w:r>
      <w:r>
        <w:rPr/>
        <w:t xml:space="preserve"> Le verbe araméen </w:t>
      </w:r>
      <w:r>
        <w:rPr>
          <w:i/>
        </w:rPr>
        <w:t xml:space="preserve">seba</w:t>
      </w:r>
      <w:r>
        <w:rPr/>
        <w:t xml:space="preserve">, origine du nom des </w:t>
      </w:r>
      <w:r>
        <w:rPr>
          <w:i/>
        </w:rPr>
        <w:t xml:space="preserve">Sabiens</w:t>
      </w:r>
      <w:r>
        <w:rPr/>
        <w:t xml:space="preserve">, est synonyme de [Greek : baptizô].</w:t>
      </w:r>
    </w:p>
  </w:footnote>
  <w:footnote w:id="284">
    <w:p>
      <w:pPr>
        <w:pStyle w:val="Notedebasdepage"/>
      </w:pPr>
      <w:r>
        <w:rPr>
          <w:rStyle w:val="Appelnotedebasdep"/>
        </w:rPr>
        <w:footnoteRef/>
        <w:t xml:space="preserve"> </w:t>
      </w:r>
      <w:r>
        <w:rPr/>
        <w:t xml:space="preserve"> J’ai traité de ceci plus au long dans le </w:t>
      </w:r>
      <w:r>
        <w:rPr>
          <w:i/>
        </w:rPr>
        <w:t xml:space="preserve">Journal Asiatique</w:t>
      </w:r>
      <w:r>
        <w:rPr/>
        <w:t xml:space="preserve">, nov.-déc. 1853 et août-sept. 1855. Il est remarquable que les Elchasaïtes, secte sabienne ou baptiste, habitaient le même pays, que les Esséniens (le bord oriental de la mer Morte) et furent confondus avec eux (Épiph., </w:t>
      </w:r>
      <w:r>
        <w:rPr>
          <w:i/>
        </w:rPr>
        <w:t xml:space="preserve">Adv. hær</w:t>
      </w:r>
      <w:r>
        <w:rPr/>
        <w:t xml:space="preserve">., XIX, I, 2, 4 ; XXX, 46, 47 ; un, 4 et 2 ; </w:t>
      </w:r>
      <w:r>
        <w:rPr>
          <w:i/>
        </w:rPr>
        <w:t xml:space="preserve">Philosophumena</w:t>
      </w:r>
      <w:r>
        <w:rPr/>
        <w:t xml:space="preserve">, IX, </w:t>
      </w:r>
      <w:r>
        <w:rPr/>
        <w:t xml:space="preserve">iii</w:t>
      </w:r>
      <w:r>
        <w:rPr/>
        <w:t xml:space="preserve">, 15 et 46 ; X, xx, 29).</w:t>
      </w:r>
    </w:p>
  </w:footnote>
  <w:footnote w:id="285">
    <w:p>
      <w:pPr>
        <w:pStyle w:val="Notedebasdepage"/>
      </w:pPr>
      <w:r>
        <w:rPr>
          <w:rStyle w:val="Appelnotedebasdep"/>
        </w:rPr>
        <w:footnoteRef/>
        <w:t xml:space="preserve"> </w:t>
      </w:r>
      <w:r>
        <w:rPr/>
        <w:t xml:space="preserve"> Voir les notices d’Épiphane sur les Esséniens, les Héméro-baptistes, les Nazaréens, les Ossènes, les Nazoréens, les Ébionites, les Sampséens </w:t>
      </w:r>
      <w:r>
        <w:rPr>
          <w:i/>
        </w:rPr>
        <w:t xml:space="preserve">(Adv. hær</w:t>
      </w:r>
      <w:r>
        <w:rPr/>
        <w:t xml:space="preserve">., liv. I et II), et celles de l’auteur des </w:t>
      </w:r>
      <w:r>
        <w:rPr>
          <w:i/>
        </w:rPr>
        <w:t xml:space="preserve">Philosophumena</w:t>
      </w:r>
      <w:r>
        <w:rPr/>
        <w:t xml:space="preserve"> sur les Elchasaïtes (liv. IX et X).</w:t>
      </w:r>
    </w:p>
  </w:footnote>
  <w:footnote w:id="286">
    <w:p>
      <w:pPr>
        <w:pStyle w:val="Notedebasdepage"/>
      </w:pPr>
      <w:r>
        <w:rPr>
          <w:rStyle w:val="Appelnotedebasdep"/>
        </w:rPr>
        <w:footnoteRef/>
        <w:t xml:space="preserve"> </w:t>
      </w:r>
      <w:r>
        <w:rPr/>
        <w:t xml:space="preserve"> Epiph., </w:t>
      </w:r>
      <w:r>
        <w:rPr>
          <w:i/>
        </w:rPr>
        <w:t xml:space="preserve">Adv. hær</w:t>
      </w:r>
      <w:r>
        <w:rPr/>
        <w:t xml:space="preserve">., XIX, XXX, LIII.</w:t>
      </w:r>
    </w:p>
  </w:footnote>
  <w:footnote w:id="287">
    <w:p>
      <w:pPr>
        <w:pStyle w:val="Notedebasdepage"/>
      </w:pPr>
      <w:r>
        <w:rPr>
          <w:rStyle w:val="Appelnotedebasdep"/>
        </w:rPr>
        <w:footnoteRef/>
        <w:t xml:space="preserve"> </w:t>
      </w:r>
      <w:r>
        <w:rPr/>
        <w:t xml:space="preserve"> Marc, VII, 4 ; Jos., </w:t>
      </w:r>
      <w:r>
        <w:rPr>
          <w:i/>
        </w:rPr>
        <w:t xml:space="preserve">Ant</w:t>
      </w:r>
      <w:r>
        <w:rPr/>
        <w:t xml:space="preserve">., XVIII, v, 2 ; Justin, </w:t>
      </w:r>
      <w:r>
        <w:rPr>
          <w:i/>
        </w:rPr>
        <w:t xml:space="preserve">Dial. cum Tryph</w:t>
      </w:r>
      <w:r>
        <w:rPr/>
        <w:t xml:space="preserve">., 17, 29, 80 ; Epiph., </w:t>
      </w:r>
      <w:r>
        <w:rPr>
          <w:i/>
        </w:rPr>
        <w:t xml:space="preserve">Adv. hær</w:t>
      </w:r>
      <w:r>
        <w:rPr/>
        <w:t xml:space="preserve">., XVII.</w:t>
      </w:r>
    </w:p>
  </w:footnote>
  <w:footnote w:id="288">
    <w:p>
      <w:pPr>
        <w:pStyle w:val="Notedebasdepage"/>
      </w:pPr>
      <w:r>
        <w:rPr>
          <w:rStyle w:val="Appelnotedebasdep"/>
        </w:rPr>
        <w:footnoteRef/>
        <w:t xml:space="preserve"> </w:t>
      </w:r>
      <w:r>
        <w:rPr/>
        <w:t xml:space="preserve"> Jos., </w:t>
      </w:r>
      <w:r>
        <w:rPr>
          <w:i/>
        </w:rPr>
        <w:t xml:space="preserve">B. J</w:t>
      </w:r>
      <w:r>
        <w:rPr/>
        <w:t xml:space="preserve">., II, </w:t>
      </w:r>
      <w:r>
        <w:rPr/>
        <w:t xml:space="preserve">viii</w:t>
      </w:r>
      <w:r>
        <w:rPr/>
        <w:t xml:space="preserve">, 5, 7, 9, 13.</w:t>
      </w:r>
    </w:p>
  </w:footnote>
  <w:footnote w:id="289">
    <w:p>
      <w:pPr>
        <w:pStyle w:val="Notedebasdepage"/>
      </w:pPr>
      <w:r>
        <w:rPr>
          <w:rStyle w:val="Appelnotedebasdep"/>
        </w:rPr>
        <w:footnoteRef/>
        <w:t xml:space="preserve"> </w:t>
      </w:r>
      <w:r>
        <w:rPr/>
        <w:t xml:space="preserve"> Mischna, </w:t>
      </w:r>
      <w:r>
        <w:rPr>
          <w:i/>
        </w:rPr>
        <w:t xml:space="preserve">Pesachim</w:t>
      </w:r>
      <w:r>
        <w:rPr/>
        <w:t xml:space="preserve">, VIII, 8 ; Talmud de Babylone, </w:t>
      </w:r>
      <w:r>
        <w:rPr>
          <w:i/>
        </w:rPr>
        <w:t xml:space="preserve">Jebamoth</w:t>
      </w:r>
      <w:r>
        <w:rPr/>
        <w:t xml:space="preserve">, 46 </w:t>
      </w:r>
      <w:r>
        <w:rPr>
          <w:i/>
        </w:rPr>
        <w:t xml:space="preserve">b</w:t>
      </w:r>
      <w:r>
        <w:rPr/>
        <w:t xml:space="preserve"> ; </w:t>
      </w:r>
      <w:r>
        <w:rPr>
          <w:i/>
        </w:rPr>
        <w:t xml:space="preserve">Kerithuth</w:t>
      </w:r>
      <w:r>
        <w:rPr/>
        <w:t xml:space="preserve">, 9 </w:t>
      </w:r>
      <w:r>
        <w:rPr>
          <w:i/>
        </w:rPr>
        <w:t xml:space="preserve">a</w:t>
      </w:r>
      <w:r>
        <w:rPr/>
        <w:t xml:space="preserve"> ; </w:t>
      </w:r>
      <w:r>
        <w:rPr>
          <w:i/>
        </w:rPr>
        <w:t xml:space="preserve">Aboda Zara</w:t>
      </w:r>
      <w:r>
        <w:rPr/>
        <w:t xml:space="preserve">, 57 </w:t>
      </w:r>
      <w:r>
        <w:rPr>
          <w:i/>
        </w:rPr>
        <w:t xml:space="preserve">a</w:t>
      </w:r>
      <w:r>
        <w:rPr/>
        <w:t xml:space="preserve"> ; </w:t>
      </w:r>
      <w:r>
        <w:rPr>
          <w:i/>
        </w:rPr>
        <w:t xml:space="preserve">Masséket Gérim</w:t>
      </w:r>
      <w:r>
        <w:rPr/>
        <w:t xml:space="preserve"> (édit. Kirchheim, 1851), p. 38-40.</w:t>
      </w:r>
    </w:p>
  </w:footnote>
  <w:footnote w:id="290">
    <w:p>
      <w:pPr>
        <w:pStyle w:val="Notedebasdepage"/>
      </w:pPr>
      <w:r>
        <w:rPr>
          <w:rStyle w:val="Appelnotedebasdep"/>
        </w:rPr>
        <w:footnoteRef/>
        <w:t xml:space="preserve"> </w:t>
      </w:r>
      <w:r>
        <w:rPr/>
        <w:t xml:space="preserve">Matth., III, 1 ; Marc, I, 4.</w:t>
      </w:r>
    </w:p>
  </w:footnote>
  <w:footnote w:id="291">
    <w:p>
      <w:pPr>
        <w:pStyle w:val="Notedebasdepage"/>
      </w:pPr>
      <w:r>
        <w:rPr>
          <w:rStyle w:val="Appelnotedebasdep"/>
        </w:rPr>
        <w:footnoteRef/>
        <w:t xml:space="preserve"> </w:t>
      </w:r>
      <w:r>
        <w:rPr/>
        <w:t xml:space="preserve">Luc, III, 3.</w:t>
      </w:r>
    </w:p>
  </w:footnote>
  <w:footnote w:id="292">
    <w:p>
      <w:pPr>
        <w:pStyle w:val="Notedebasdepage"/>
      </w:pPr>
      <w:r>
        <w:rPr>
          <w:rStyle w:val="Appelnotedebasdep"/>
        </w:rPr>
        <w:footnoteRef/>
        <w:t xml:space="preserve"> </w:t>
      </w:r>
      <w:r>
        <w:rPr/>
        <w:t xml:space="preserve"> Jean, I, 28 ; III, 26. Tous les manuscrits portent </w:t>
      </w:r>
      <w:r>
        <w:rPr>
          <w:i/>
        </w:rPr>
        <w:t xml:space="preserve">Béthanie</w:t>
      </w:r>
      <w:r>
        <w:rPr/>
        <w:t xml:space="preserve"> ; mais, comme on ne connaît pas de Béthanie en ces parages, Origène (</w:t>
      </w:r>
      <w:r>
        <w:rPr>
          <w:i/>
        </w:rPr>
        <w:t xml:space="preserve">Comment, in Joann</w:t>
      </w:r>
      <w:r>
        <w:rPr/>
        <w:t xml:space="preserve">., VI, 24) a proposé de substituer </w:t>
      </w:r>
      <w:r>
        <w:rPr>
          <w:i/>
        </w:rPr>
        <w:t xml:space="preserve">Béthabara</w:t>
      </w:r>
      <w:r>
        <w:rPr/>
        <w:t xml:space="preserve">, et sa correction a été assez généralement acceptée. Les deux mots ont, du reste, des significations analogues et semblent indiquer un endroit où il y avait un bac pour passer la rivière.</w:t>
      </w:r>
    </w:p>
  </w:footnote>
  <w:footnote w:id="293">
    <w:p>
      <w:pPr>
        <w:pStyle w:val="Notedebasdepage"/>
      </w:pPr>
      <w:r>
        <w:rPr>
          <w:rStyle w:val="Appelnotedebasdep"/>
        </w:rPr>
        <w:footnoteRef/>
        <w:t xml:space="preserve"> </w:t>
      </w:r>
      <w:r>
        <w:rPr/>
        <w:t xml:space="preserve"> Ænon est le pluriel chaldéen </w:t>
      </w:r>
      <w:r>
        <w:rPr>
          <w:i/>
        </w:rPr>
        <w:t xml:space="preserve">Ænawan</w:t>
      </w:r>
      <w:r>
        <w:rPr/>
        <w:t xml:space="preserve">, « fontaines. »</w:t>
      </w:r>
    </w:p>
  </w:footnote>
  <w:footnote w:id="294">
    <w:p>
      <w:pPr>
        <w:pStyle w:val="Notedebasdepage"/>
      </w:pPr>
      <w:r>
        <w:rPr>
          <w:rStyle w:val="Appelnotedebasdep"/>
        </w:rPr>
        <w:footnoteRef/>
        <w:t xml:space="preserve"> </w:t>
      </w:r>
      <w:r>
        <w:rPr/>
        <w:t xml:space="preserve"> Jean, III, 23. La situation de cette localité est douteuse. La circonstance relevée par l’évangéliste ferait croire qu’elle n’était pas très voisine du Jourdain. Cependant les synoptiques sont constants pour placer toute la scène des baptêmes de Jean sur le bord de ce fleuve (Matth., III, 6 ; Marc, I, 5 ; Luc, III ; 3). Le rapprochement des versets 22 et 23 du chapitre ni de Jean, et des versets 3 et 4 du chapitre IV du même évangile, porterait d’ailleurs à croire que Salim était en Judée, et par conséquent dans l’oasis de Jéricho, près de l’embouchure du Jourdain, puisqu’on trouverait difficilement, dans le reste de la tribu de Juda, un seul bassin naturel qui puisse prêter à la totale immersion d’une personne. Saint Jérôme veut placer Salim beaucoup plus au nord, près de Beth-Schéan ou Scythopolis. Mais Robinson (</w:t>
      </w:r>
      <w:r>
        <w:rPr>
          <w:i/>
        </w:rPr>
        <w:t xml:space="preserve">Bibl. Res</w:t>
      </w:r>
      <w:r>
        <w:rPr/>
        <w:t xml:space="preserve">., III, 333) n’a pu rien trouver sur les lieux qui justifiât cette allégation.</w:t>
      </w:r>
    </w:p>
  </w:footnote>
  <w:footnote w:id="295">
    <w:p>
      <w:pPr>
        <w:pStyle w:val="Notedebasdepage"/>
      </w:pPr>
      <w:r>
        <w:rPr>
          <w:rStyle w:val="Appelnotedebasdep"/>
        </w:rPr>
        <w:footnoteRef/>
        <w:t xml:space="preserve"> </w:t>
      </w:r>
      <w:r>
        <w:rPr/>
        <w:t xml:space="preserve"> Marc, I, 5 ; Josèphe, </w:t>
      </w:r>
      <w:r>
        <w:rPr>
          <w:i/>
        </w:rPr>
        <w:t xml:space="preserve">Ant</w:t>
      </w:r>
      <w:r>
        <w:rPr/>
        <w:t xml:space="preserve">., XVIII, v, 2.</w:t>
      </w:r>
    </w:p>
  </w:footnote>
  <w:footnote w:id="296">
    <w:p>
      <w:pPr>
        <w:pStyle w:val="Notedebasdepage"/>
      </w:pPr>
      <w:r>
        <w:rPr>
          <w:rStyle w:val="Appelnotedebasdep"/>
        </w:rPr>
        <w:footnoteRef/>
        <w:t xml:space="preserve"> </w:t>
      </w:r>
      <w:r>
        <w:rPr/>
        <w:t xml:space="preserve">Matth., XIV, 5 ; XXI, 26.</w:t>
      </w:r>
    </w:p>
  </w:footnote>
  <w:footnote w:id="297">
    <w:p>
      <w:pPr>
        <w:pStyle w:val="Notedebasdepage"/>
      </w:pPr>
      <w:r>
        <w:rPr>
          <w:rStyle w:val="Appelnotedebasdep"/>
        </w:rPr>
        <w:footnoteRef/>
        <w:t xml:space="preserve"> </w:t>
      </w:r>
      <w:r>
        <w:rPr/>
        <w:t xml:space="preserve">Matth., XI, 14 ; Marc, VI, 15 ; Jean, I, 21.</w:t>
      </w:r>
    </w:p>
  </w:footnote>
  <w:footnote w:id="298">
    <w:p>
      <w:pPr>
        <w:pStyle w:val="Notedebasdepage"/>
      </w:pPr>
      <w:r>
        <w:rPr>
          <w:rStyle w:val="Appelnotedebasdep"/>
        </w:rPr>
        <w:footnoteRef/>
        <w:t xml:space="preserve"> </w:t>
      </w:r>
      <w:r>
        <w:rPr/>
        <w:t xml:space="preserve">Matth., XIV, 2 ; Luc, IX, 8.</w:t>
      </w:r>
    </w:p>
  </w:footnote>
  <w:footnote w:id="299">
    <w:p>
      <w:pPr>
        <w:pStyle w:val="Notedebasdepage"/>
      </w:pPr>
      <w:r>
        <w:rPr>
          <w:rStyle w:val="Appelnotedebasdep"/>
        </w:rPr>
        <w:footnoteRef/>
        <w:t xml:space="preserve"> </w:t>
      </w:r>
      <w:r>
        <w:rPr/>
        <w:t xml:space="preserve">V. ci-dessus, p. 96, note 1.</w:t>
      </w:r>
    </w:p>
  </w:footnote>
  <w:footnote w:id="300">
    <w:p>
      <w:pPr>
        <w:pStyle w:val="Notedebasdepage"/>
      </w:pPr>
      <w:r>
        <w:rPr>
          <w:rStyle w:val="Appelnotedebasdep"/>
        </w:rPr>
        <w:footnoteRef/>
        <w:t xml:space="preserve"> </w:t>
      </w:r>
      <w:r>
        <w:rPr/>
        <w:t xml:space="preserve">Luc, III, 45 et suiv. ; Jean, I, 20.</w:t>
      </w:r>
    </w:p>
  </w:footnote>
  <w:footnote w:id="301">
    <w:p>
      <w:pPr>
        <w:pStyle w:val="Notedebasdepage"/>
      </w:pPr>
      <w:r>
        <w:rPr>
          <w:rStyle w:val="Appelnotedebasdep"/>
        </w:rPr>
        <w:footnoteRef/>
        <w:t xml:space="preserve"> </w:t>
      </w:r>
      <w:r>
        <w:rPr/>
        <w:t xml:space="preserve">Matth., XXI, 25 et suiv. ; Luc, VII, 30.</w:t>
      </w:r>
    </w:p>
  </w:footnote>
  <w:footnote w:id="302">
    <w:p>
      <w:pPr>
        <w:pStyle w:val="Notedebasdepage"/>
      </w:pPr>
      <w:r>
        <w:rPr>
          <w:rStyle w:val="Appelnotedebasdep"/>
        </w:rPr>
        <w:footnoteRef/>
        <w:t xml:space="preserve"> </w:t>
      </w:r>
      <w:r>
        <w:rPr/>
        <w:t xml:space="preserve"> Matth., </w:t>
      </w:r>
      <w:r>
        <w:rPr>
          <w:i/>
        </w:rPr>
        <w:t xml:space="preserve">loc. cit</w:t>
      </w:r>
      <w:r>
        <w:rPr/>
        <w:t xml:space="preserve">.</w:t>
      </w:r>
    </w:p>
  </w:footnote>
  <w:footnote w:id="303">
    <w:p>
      <w:pPr>
        <w:pStyle w:val="Notedebasdepage"/>
      </w:pPr>
      <w:r>
        <w:rPr>
          <w:rStyle w:val="Appelnotedebasdep"/>
        </w:rPr>
        <w:footnoteRef/>
        <w:t xml:space="preserve"> </w:t>
      </w:r>
      <w:r>
        <w:rPr/>
        <w:t xml:space="preserve">Matth., III, 2.</w:t>
      </w:r>
    </w:p>
  </w:footnote>
  <w:footnote w:id="304">
    <w:p>
      <w:pPr>
        <w:pStyle w:val="Notedebasdepage"/>
      </w:pPr>
      <w:r>
        <w:rPr>
          <w:rStyle w:val="Appelnotedebasdep"/>
        </w:rPr>
        <w:footnoteRef/>
        <w:t xml:space="preserve"> </w:t>
      </w:r>
      <w:r>
        <w:rPr/>
        <w:t xml:space="preserve">Matth., III, 7.</w:t>
      </w:r>
    </w:p>
  </w:footnote>
  <w:footnote w:id="305">
    <w:p>
      <w:pPr>
        <w:pStyle w:val="Notedebasdepage"/>
      </w:pPr>
      <w:r>
        <w:rPr>
          <w:rStyle w:val="Appelnotedebasdep"/>
        </w:rPr>
        <w:footnoteRef/>
        <w:t xml:space="preserve"> </w:t>
      </w:r>
      <w:r>
        <w:rPr/>
        <w:t xml:space="preserve"> Luc, III, 11-14 ; Josèphe, </w:t>
      </w:r>
      <w:r>
        <w:rPr>
          <w:i/>
        </w:rPr>
        <w:t xml:space="preserve">Ant.</w:t>
      </w:r>
      <w:r>
        <w:rPr/>
        <w:t xml:space="preserve">, XVIII, v, 2.</w:t>
      </w:r>
    </w:p>
  </w:footnote>
  <w:footnote w:id="306">
    <w:p>
      <w:pPr>
        <w:pStyle w:val="Notedebasdepage"/>
      </w:pPr>
      <w:r>
        <w:rPr>
          <w:rStyle w:val="Appelnotedebasdep"/>
        </w:rPr>
        <w:footnoteRef/>
        <w:t xml:space="preserve"> </w:t>
      </w:r>
      <w:r>
        <w:rPr/>
        <w:t xml:space="preserve">Matth., XXI, 32 ; Luc, III, 12-14.</w:t>
      </w:r>
    </w:p>
  </w:footnote>
  <w:footnote w:id="307">
    <w:p>
      <w:pPr>
        <w:pStyle w:val="Notedebasdepage"/>
      </w:pPr>
      <w:r>
        <w:rPr>
          <w:rStyle w:val="Appelnotedebasdep"/>
        </w:rPr>
        <w:footnoteRef/>
        <w:t xml:space="preserve"> </w:t>
      </w:r>
      <w:r>
        <w:rPr/>
        <w:t xml:space="preserve">Matth., III, 9.</w:t>
      </w:r>
    </w:p>
  </w:footnote>
  <w:footnote w:id="308">
    <w:p>
      <w:pPr>
        <w:pStyle w:val="Notedebasdepage"/>
      </w:pPr>
      <w:r>
        <w:rPr>
          <w:rStyle w:val="Appelnotedebasdep"/>
        </w:rPr>
        <w:footnoteRef/>
        <w:t xml:space="preserve"> </w:t>
      </w:r>
      <w:r>
        <w:rPr/>
        <w:t xml:space="preserve">Matth., III, 7 ; Luc, III, 7.</w:t>
      </w:r>
    </w:p>
  </w:footnote>
  <w:footnote w:id="309">
    <w:p>
      <w:pPr>
        <w:pStyle w:val="Notedebasdepage"/>
      </w:pPr>
      <w:r>
        <w:rPr>
          <w:rStyle w:val="Appelnotedebasdep"/>
        </w:rPr>
        <w:footnoteRef/>
        <w:t xml:space="preserve"> </w:t>
      </w:r>
      <w:r>
        <w:rPr>
          <w:i/>
        </w:rPr>
        <w:t xml:space="preserve">Ant.</w:t>
      </w:r>
      <w:r>
        <w:rPr/>
        <w:t xml:space="preserve">, XVIII, v, 2. Il faut observer que, quand Josèphe expose les doctrines secrètes et plus ou moins séditieuses de ses compatriotes, il efface tout ce qui a trait aux croyances messianiques, et répand sur ces doctrines, pour ne pas faire ombrage aux Romains, un vernis de banalité, qui fait ressembler tous les chefs de sectes juives à des professeurs de morale ou à des stoïciens.</w:t>
      </w:r>
    </w:p>
  </w:footnote>
  <w:footnote w:id="310">
    <w:p>
      <w:pPr>
        <w:pStyle w:val="Notedebasdepage"/>
      </w:pPr>
      <w:r>
        <w:rPr>
          <w:rStyle w:val="Appelnotedebasdep"/>
        </w:rPr>
        <w:footnoteRef/>
        <w:t xml:space="preserve"> </w:t>
      </w:r>
      <w:r>
        <w:rPr/>
        <w:t xml:space="preserve">Matth., IX, 14.</w:t>
      </w:r>
    </w:p>
  </w:footnote>
  <w:footnote w:id="311">
    <w:p>
      <w:pPr>
        <w:pStyle w:val="Notedebasdepage"/>
      </w:pPr>
      <w:r>
        <w:rPr>
          <w:rStyle w:val="Appelnotedebasdep"/>
        </w:rPr>
        <w:footnoteRef/>
        <w:t xml:space="preserve"> </w:t>
      </w:r>
      <w:r>
        <w:rPr/>
        <w:t xml:space="preserve">Luc, III, 11.</w:t>
      </w:r>
    </w:p>
  </w:footnote>
  <w:footnote w:id="312">
    <w:p>
      <w:pPr>
        <w:pStyle w:val="Notedebasdepage"/>
      </w:pPr>
      <w:r>
        <w:rPr>
          <w:rStyle w:val="Appelnotedebasdep"/>
        </w:rPr>
        <w:footnoteRef/>
        <w:t xml:space="preserve"> </w:t>
      </w:r>
      <w:r>
        <w:rPr/>
        <w:t xml:space="preserve"> Matth., ni, 13 et suiv. ; Marc, </w:t>
      </w:r>
      <w:r>
        <w:rPr/>
        <w:t xml:space="preserve">i</w:t>
      </w:r>
      <w:r>
        <w:rPr/>
        <w:t xml:space="preserve">, 9 et suiv. ; Luc, m, 21 et suiv. ; Jean, i, 29 et suiv. ; m, 22 et suiv. Les synoptiques font venir Jésus vers Jean, avant qu’il eût joué de rôle public. Mais s’il est vrai, comme ils le disent, que Jean reconnut tout d’abord Jésus et lui fît grand accueil, il faut supposer que Jésus était déjà un maître assez renommé. Le quatrième évangéliste amène deux fois Jésus vers Jean, une première fois encore obscur, une deuxième fois avec une troupe de disciples. Sans toucher ici la question des itinéraires précis de Jésus (question insoluble vu les contradictions des documents et le peu de souci qu’eurent les évangélistes d’être exacts en pareille matière), sans nier que Jésus ait pu faire un voyage auprès de Jean au temps où il n’avait pas encore de notoriété, nous adoptons la donnée fournie par le quatrième évangile (m, 22 et suiv.), à savoir que Jésus, avant de se mettre à baptiser comme Jean, avait une école formée. Il faut se rappeler, du reste, que les premières pages du quatrième évangile sont des notes mises bout à bout, sans ordre chronologique rigoureux.</w:t>
      </w:r>
    </w:p>
  </w:footnote>
  <w:footnote w:id="313">
    <w:p>
      <w:pPr>
        <w:pStyle w:val="Notedebasdepage"/>
      </w:pPr>
      <w:r>
        <w:rPr>
          <w:rStyle w:val="Appelnotedebasdep"/>
        </w:rPr>
        <w:footnoteRef/>
        <w:t xml:space="preserve"> </w:t>
      </w:r>
      <w:r>
        <w:rPr/>
        <w:t xml:space="preserve">Luc, I, bien que tous les détails du récit, notamment ce qui concerne la parenté de Jean avec Jésus, soient légendaires.</w:t>
      </w:r>
    </w:p>
  </w:footnote>
  <w:footnote w:id="314">
    <w:p>
      <w:pPr>
        <w:pStyle w:val="Notedebasdepage"/>
      </w:pPr>
      <w:r>
        <w:rPr>
          <w:rStyle w:val="Appelnotedebasdep"/>
        </w:rPr>
        <w:footnoteRef/>
        <w:t xml:space="preserve"> </w:t>
      </w:r>
      <w:r>
        <w:rPr/>
        <w:t xml:space="preserve">Jean, III, 22-26 ; IV, 1-2. La parenthèse du verset 2 paraît être une glose ajoutée, ou peut-être un scrupule tardif de Jean se corrigeant lui-même.</w:t>
      </w:r>
    </w:p>
  </w:footnote>
  <w:footnote w:id="315">
    <w:p>
      <w:pPr>
        <w:pStyle w:val="Notedebasdepage"/>
      </w:pPr>
      <w:r>
        <w:rPr>
          <w:rStyle w:val="Appelnotedebasdep"/>
        </w:rPr>
        <w:footnoteRef/>
        <w:t xml:space="preserve"> </w:t>
      </w:r>
      <w:r>
        <w:rPr/>
        <w:t xml:space="preserve">Jean, III, 26 ; IV, 1.</w:t>
      </w:r>
    </w:p>
  </w:footnote>
  <w:footnote w:id="316">
    <w:p>
      <w:pPr>
        <w:pStyle w:val="Notedebasdepage"/>
      </w:pPr>
      <w:r>
        <w:rPr>
          <w:rStyle w:val="Appelnotedebasdep"/>
        </w:rPr>
        <w:footnoteRef/>
        <w:t xml:space="preserve"> </w:t>
      </w:r>
      <w:r>
        <w:rPr/>
        <w:t xml:space="preserve">Matth., III, 2 ; IV, 17.</w:t>
      </w:r>
    </w:p>
  </w:footnote>
  <w:footnote w:id="317">
    <w:p>
      <w:pPr>
        <w:pStyle w:val="Notedebasdepage"/>
      </w:pPr>
      <w:r>
        <w:rPr>
          <w:rStyle w:val="Appelnotedebasdep"/>
        </w:rPr>
        <w:footnoteRef/>
        <w:t xml:space="preserve"> </w:t>
      </w:r>
      <w:r>
        <w:rPr/>
        <w:t xml:space="preserve">Matth., III, 7 ; XII, 34 ; XXIII, 33.</w:t>
      </w:r>
    </w:p>
  </w:footnote>
  <w:footnote w:id="318">
    <w:p>
      <w:pPr>
        <w:pStyle w:val="Notedebasdepage"/>
      </w:pPr>
      <w:r>
        <w:rPr>
          <w:rStyle w:val="Appelnotedebasdep"/>
        </w:rPr>
        <w:footnoteRef/>
        <w:t xml:space="preserve"> </w:t>
      </w:r>
      <w:r>
        <w:rPr/>
        <w:t xml:space="preserve">Matth., XI, 2-13.</w:t>
      </w:r>
    </w:p>
  </w:footnote>
  <w:footnote w:id="319">
    <w:p>
      <w:pPr>
        <w:pStyle w:val="Notedebasdepage"/>
      </w:pPr>
      <w:r>
        <w:rPr>
          <w:rStyle w:val="Appelnotedebasdep"/>
        </w:rPr>
        <w:footnoteRef/>
        <w:t xml:space="preserve"> </w:t>
      </w:r>
      <w:r>
        <w:rPr/>
        <w:t xml:space="preserve">Matth., XIV, 42.</w:t>
      </w:r>
    </w:p>
  </w:footnote>
  <w:footnote w:id="320">
    <w:p>
      <w:pPr>
        <w:pStyle w:val="Notedebasdepage"/>
      </w:pPr>
      <w:r>
        <w:rPr>
          <w:rStyle w:val="Appelnotedebasdep"/>
        </w:rPr>
        <w:footnoteRef/>
        <w:t xml:space="preserve"> </w:t>
      </w:r>
      <w:r>
        <w:rPr/>
        <w:t xml:space="preserve">Luc, III, 19.</w:t>
      </w:r>
    </w:p>
  </w:footnote>
  <w:footnote w:id="321">
    <w:p>
      <w:pPr>
        <w:pStyle w:val="Notedebasdepage"/>
      </w:pPr>
      <w:r>
        <w:rPr>
          <w:rStyle w:val="Appelnotedebasdep"/>
        </w:rPr>
        <w:footnoteRef/>
        <w:t xml:space="preserve"> </w:t>
      </w:r>
      <w:r>
        <w:rPr/>
        <w:t xml:space="preserve"> Jos., </w:t>
      </w:r>
      <w:r>
        <w:rPr>
          <w:i/>
        </w:rPr>
        <w:t xml:space="preserve">Ant</w:t>
      </w:r>
      <w:r>
        <w:rPr/>
        <w:t xml:space="preserve">., XVIII, </w:t>
      </w:r>
      <w:r>
        <w:rPr/>
        <w:t xml:space="preserve">v</w:t>
      </w:r>
      <w:r>
        <w:rPr/>
        <w:t xml:space="preserve">, 2.</w:t>
      </w:r>
    </w:p>
  </w:footnote>
  <w:footnote w:id="322">
    <w:p>
      <w:pPr>
        <w:pStyle w:val="Notedebasdepage"/>
      </w:pPr>
      <w:r>
        <w:rPr>
          <w:rStyle w:val="Appelnotedebasdep"/>
        </w:rPr>
        <w:footnoteRef/>
        <w:t xml:space="preserve"> </w:t>
      </w:r>
      <w:r>
        <w:rPr/>
        <w:t xml:space="preserve"> Jos., </w:t>
      </w:r>
      <w:r>
        <w:rPr>
          <w:i/>
        </w:rPr>
        <w:t xml:space="preserve">Ant</w:t>
      </w:r>
      <w:r>
        <w:rPr/>
        <w:t xml:space="preserve">., XVIII, </w:t>
      </w:r>
      <w:r>
        <w:rPr/>
        <w:t xml:space="preserve">v</w:t>
      </w:r>
      <w:r>
        <w:rPr/>
        <w:t xml:space="preserve">, 4.</w:t>
      </w:r>
    </w:p>
  </w:footnote>
  <w:footnote w:id="323">
    <w:p>
      <w:pPr>
        <w:pStyle w:val="Notedebasdepage"/>
      </w:pPr>
      <w:r>
        <w:rPr>
          <w:rStyle w:val="Appelnotedebasdep"/>
        </w:rPr>
        <w:footnoteRef/>
        <w:t xml:space="preserve"> </w:t>
      </w:r>
      <w:r>
        <w:rPr/>
        <w:t xml:space="preserve"> Matthieu (XIV, 3, dans le texte grec) et Marc (VI, 17) veulent que ce soit Philippe ; mais c’est là certainement une inadvertance (voir Josèphe, </w:t>
      </w:r>
      <w:r>
        <w:rPr>
          <w:i/>
        </w:rPr>
        <w:t xml:space="preserve">Ant</w:t>
      </w:r>
      <w:r>
        <w:rPr/>
        <w:t xml:space="preserve">., XVIII, </w:t>
      </w:r>
      <w:r>
        <w:rPr/>
        <w:t xml:space="preserve">v</w:t>
      </w:r>
      <w:r>
        <w:rPr/>
        <w:t xml:space="preserve">, 1 et 4). La femme de Philippe était Salomé, fille d’Hérodiade.</w:t>
      </w:r>
    </w:p>
  </w:footnote>
  <w:footnote w:id="324">
    <w:p>
      <w:pPr>
        <w:pStyle w:val="Notedebasdepage"/>
      </w:pPr>
      <w:r>
        <w:rPr>
          <w:rStyle w:val="Appelnotedebasdep"/>
        </w:rPr>
        <w:footnoteRef/>
        <w:t xml:space="preserve"> </w:t>
      </w:r>
      <w:r>
        <w:rPr/>
        <w:t xml:space="preserve"> Jos., </w:t>
      </w:r>
      <w:r>
        <w:rPr>
          <w:i/>
        </w:rPr>
        <w:t xml:space="preserve">Ant</w:t>
      </w:r>
      <w:r>
        <w:rPr/>
        <w:t xml:space="preserve">., XVII, IV, 2.</w:t>
      </w:r>
    </w:p>
  </w:footnote>
  <w:footnote w:id="325">
    <w:p>
      <w:pPr>
        <w:pStyle w:val="Notedebasdepage"/>
      </w:pPr>
      <w:r>
        <w:rPr>
          <w:rStyle w:val="Appelnotedebasdep"/>
        </w:rPr>
        <w:footnoteRef/>
        <w:t xml:space="preserve"> </w:t>
      </w:r>
      <w:r>
        <w:rPr/>
        <w:t xml:space="preserve"> Jos., </w:t>
      </w:r>
      <w:r>
        <w:rPr>
          <w:i/>
        </w:rPr>
        <w:t xml:space="preserve">Ant</w:t>
      </w:r>
      <w:r>
        <w:rPr/>
        <w:t xml:space="preserve">., XVIII, vu, 1, 2 ; </w:t>
      </w:r>
      <w:r>
        <w:rPr>
          <w:i/>
        </w:rPr>
        <w:t xml:space="preserve">B.J.</w:t>
      </w:r>
      <w:r>
        <w:rPr/>
        <w:t xml:space="preserve"> II, </w:t>
      </w:r>
      <w:r>
        <w:rPr/>
        <w:t xml:space="preserve">ix</w:t>
      </w:r>
      <w:r>
        <w:rPr/>
        <w:t xml:space="preserve">, 6.</w:t>
      </w:r>
    </w:p>
  </w:footnote>
  <w:footnote w:id="326">
    <w:p>
      <w:pPr>
        <w:pStyle w:val="Notedebasdepage"/>
      </w:pPr>
      <w:r>
        <w:rPr>
          <w:rStyle w:val="Appelnotedebasdep"/>
        </w:rPr>
        <w:footnoteRef/>
        <w:t xml:space="preserve"> </w:t>
      </w:r>
      <w:r>
        <w:rPr/>
        <w:t xml:space="preserve"> Jos., </w:t>
      </w:r>
      <w:r>
        <w:rPr>
          <w:i/>
        </w:rPr>
        <w:t xml:space="preserve">Ant</w:t>
      </w:r>
      <w:r>
        <w:rPr/>
        <w:t xml:space="preserve">., XVIII, </w:t>
      </w:r>
      <w:r>
        <w:rPr/>
        <w:t xml:space="preserve">v</w:t>
      </w:r>
      <w:r>
        <w:rPr/>
        <w:t xml:space="preserve">, 1.</w:t>
      </w:r>
    </w:p>
  </w:footnote>
  <w:footnote w:id="327">
    <w:p>
      <w:pPr>
        <w:pStyle w:val="Notedebasdepage"/>
      </w:pPr>
      <w:r>
        <w:rPr>
          <w:rStyle w:val="Appelnotedebasdep"/>
        </w:rPr>
        <w:footnoteRef/>
        <w:t xml:space="preserve"> </w:t>
      </w:r>
      <w:r>
        <w:rPr/>
        <w:t xml:space="preserve"> Cette forme se trouve dans le Talmud de Jérusalem </w:t>
      </w:r>
      <w:r>
        <w:rPr>
          <w:i/>
        </w:rPr>
        <w:t xml:space="preserve">(Schebiit</w:t>
      </w:r>
      <w:r>
        <w:rPr/>
        <w:t xml:space="preserve">, IX, 2) et dans les Targums de Jonathan et de Jérusalem </w:t>
      </w:r>
      <w:r>
        <w:rPr>
          <w:i/>
        </w:rPr>
        <w:t xml:space="preserve">(Nombres</w:t>
      </w:r>
      <w:r>
        <w:rPr/>
        <w:t xml:space="preserve">, XXII, 35).</w:t>
      </w:r>
    </w:p>
  </w:footnote>
  <w:footnote w:id="328">
    <w:p>
      <w:pPr>
        <w:pStyle w:val="Notedebasdepage"/>
      </w:pPr>
      <w:r>
        <w:rPr>
          <w:rStyle w:val="Appelnotedebasdep"/>
        </w:rPr>
        <w:footnoteRef/>
        <w:t xml:space="preserve"> </w:t>
      </w:r>
      <w:r>
        <w:rPr/>
        <w:t xml:space="preserve">Aujourd’hui Mkaur, dans le ouadi Zerka Maïn. Cet endroit n’a pas été visité depuis Seetzen.</w:t>
      </w:r>
    </w:p>
  </w:footnote>
  <w:footnote w:id="329">
    <w:p>
      <w:pPr>
        <w:pStyle w:val="Notedebasdepage"/>
      </w:pPr>
      <w:r>
        <w:rPr>
          <w:rStyle w:val="Appelnotedebasdep"/>
        </w:rPr>
        <w:footnoteRef/>
        <w:t xml:space="preserve"> </w:t>
      </w:r>
      <w:r>
        <w:rPr/>
        <w:t xml:space="preserve"> Josèphe, </w:t>
      </w:r>
      <w:r>
        <w:rPr>
          <w:i/>
        </w:rPr>
        <w:t xml:space="preserve">De bell. Jud.</w:t>
      </w:r>
      <w:r>
        <w:rPr/>
        <w:t xml:space="preserve">, VII, </w:t>
      </w:r>
      <w:r>
        <w:rPr/>
        <w:t xml:space="preserve">vi</w:t>
      </w:r>
      <w:r>
        <w:rPr/>
        <w:t xml:space="preserve">, 1 et suiv.</w:t>
      </w:r>
    </w:p>
  </w:footnote>
  <w:footnote w:id="330">
    <w:p>
      <w:pPr>
        <w:pStyle w:val="Notedebasdepage"/>
      </w:pPr>
      <w:r>
        <w:rPr>
          <w:rStyle w:val="Appelnotedebasdep"/>
        </w:rPr>
        <w:footnoteRef/>
        <w:t xml:space="preserve"> </w:t>
      </w:r>
      <w:r>
        <w:rPr/>
        <w:t xml:space="preserve"> Jos., </w:t>
      </w:r>
      <w:r>
        <w:rPr>
          <w:i/>
        </w:rPr>
        <w:t xml:space="preserve">Ant</w:t>
      </w:r>
      <w:r>
        <w:rPr/>
        <w:t xml:space="preserve">., XVIII, </w:t>
      </w:r>
      <w:r>
        <w:rPr/>
        <w:t xml:space="preserve">v</w:t>
      </w:r>
      <w:r>
        <w:rPr/>
        <w:t xml:space="preserve">, 1.</w:t>
      </w:r>
    </w:p>
  </w:footnote>
  <w:footnote w:id="331">
    <w:p>
      <w:pPr>
        <w:pStyle w:val="Notedebasdepage"/>
      </w:pPr>
      <w:r>
        <w:rPr>
          <w:rStyle w:val="Appelnotedebasdep"/>
        </w:rPr>
        <w:footnoteRef/>
        <w:t xml:space="preserve"> </w:t>
      </w:r>
      <w:r>
        <w:rPr>
          <w:i/>
        </w:rPr>
        <w:t xml:space="preserve">Lévitique</w:t>
      </w:r>
      <w:r>
        <w:rPr/>
        <w:t xml:space="preserve">, XVIII, 16.</w:t>
      </w:r>
    </w:p>
  </w:footnote>
  <w:footnote w:id="332">
    <w:p>
      <w:pPr>
        <w:pStyle w:val="Notedebasdepage"/>
      </w:pPr>
      <w:r>
        <w:rPr>
          <w:rStyle w:val="Appelnotedebasdep"/>
        </w:rPr>
        <w:footnoteRef/>
        <w:t xml:space="preserve"> </w:t>
      </w:r>
      <w:r>
        <w:rPr/>
        <w:t xml:space="preserve"> Jos., </w:t>
      </w:r>
      <w:r>
        <w:rPr>
          <w:i/>
        </w:rPr>
        <w:t xml:space="preserve">Ant.</w:t>
      </w:r>
      <w:r>
        <w:rPr/>
        <w:t xml:space="preserve">, XV, </w:t>
      </w:r>
      <w:r>
        <w:rPr/>
        <w:t xml:space="preserve">vii</w:t>
      </w:r>
      <w:r>
        <w:rPr/>
        <w:t xml:space="preserve">, 10.</w:t>
      </w:r>
    </w:p>
  </w:footnote>
  <w:footnote w:id="333">
    <w:p>
      <w:pPr>
        <w:pStyle w:val="Notedebasdepage"/>
      </w:pPr>
      <w:r>
        <w:rPr>
          <w:rStyle w:val="Appelnotedebasdep"/>
        </w:rPr>
        <w:footnoteRef/>
        <w:t xml:space="preserve"> </w:t>
      </w:r>
      <w:r>
        <w:rPr/>
        <w:t xml:space="preserve">Matth., XIV, 4 ; Marc, VI, 18 ; Luc, III, 19.</w:t>
      </w:r>
    </w:p>
  </w:footnote>
  <w:footnote w:id="334">
    <w:p>
      <w:pPr>
        <w:pStyle w:val="Notedebasdepage"/>
      </w:pPr>
      <w:r>
        <w:rPr>
          <w:rStyle w:val="Appelnotedebasdep"/>
        </w:rPr>
        <w:footnoteRef/>
        <w:t xml:space="preserve"> </w:t>
      </w:r>
      <w:r>
        <w:rPr/>
        <w:t xml:space="preserve"> Jos., </w:t>
      </w:r>
      <w:r>
        <w:rPr>
          <w:i/>
        </w:rPr>
        <w:t xml:space="preserve">Ant.</w:t>
      </w:r>
      <w:r>
        <w:rPr/>
        <w:t xml:space="preserve">, XVIII, v, 2.</w:t>
      </w:r>
    </w:p>
  </w:footnote>
  <w:footnote w:id="335">
    <w:p>
      <w:pPr>
        <w:pStyle w:val="Notedebasdepage"/>
      </w:pPr>
      <w:r>
        <w:rPr>
          <w:rStyle w:val="Appelnotedebasdep"/>
        </w:rPr>
        <w:footnoteRef/>
        <w:t xml:space="preserve"> </w:t>
      </w:r>
      <w:r>
        <w:rPr/>
        <w:t xml:space="preserve">Matth., XIV, 5.</w:t>
      </w:r>
    </w:p>
  </w:footnote>
  <w:footnote w:id="336">
    <w:p>
      <w:pPr>
        <w:pStyle w:val="Notedebasdepage"/>
      </w:pPr>
      <w:r>
        <w:rPr>
          <w:rStyle w:val="Appelnotedebasdep"/>
        </w:rPr>
        <w:footnoteRef/>
        <w:t xml:space="preserve"> </w:t>
      </w:r>
      <w:r>
        <w:rPr/>
        <w:t xml:space="preserve"> Marc, VI, 20. Je lis [Greek : êporei], et non [Greek : epoiei].</w:t>
      </w:r>
    </w:p>
  </w:footnote>
  <w:footnote w:id="337">
    <w:p>
      <w:pPr>
        <w:pStyle w:val="Notedebasdepage"/>
      </w:pPr>
      <w:r>
        <w:rPr>
          <w:rStyle w:val="Appelnotedebasdep"/>
        </w:rPr>
        <w:footnoteRef/>
        <w:t xml:space="preserve"> </w:t>
      </w:r>
      <w:r>
        <w:rPr>
          <w:i/>
        </w:rPr>
        <w:t xml:space="preserve">Tobie</w:t>
      </w:r>
      <w:r>
        <w:rPr/>
        <w:t xml:space="preserve"> VIII, 3 ; Luc, XI, 24.</w:t>
      </w:r>
    </w:p>
  </w:footnote>
  <w:footnote w:id="338">
    <w:p>
      <w:pPr>
        <w:pStyle w:val="Notedebasdepage"/>
      </w:pPr>
      <w:r>
        <w:rPr>
          <w:rStyle w:val="Appelnotedebasdep"/>
        </w:rPr>
        <w:footnoteRef/>
        <w:t xml:space="preserve"> </w:t>
      </w:r>
      <w:r>
        <w:rPr/>
        <w:t xml:space="preserve"> Matth., IV, 1 et suiv. ; Marc, I, 12-13 ; Luc, IV, 1 et suiv. Certes, l’analogie frappante que ces récits offrent avec des légendes analogues du </w:t>
      </w:r>
      <w:r>
        <w:rPr>
          <w:i/>
        </w:rPr>
        <w:t xml:space="preserve">Vendidad</w:t>
      </w:r>
      <w:r>
        <w:rPr/>
        <w:t xml:space="preserve"> (farg. XIX) et du </w:t>
      </w:r>
      <w:r>
        <w:rPr>
          <w:i/>
        </w:rPr>
        <w:t xml:space="preserve">Lalitavistara</w:t>
      </w:r>
      <w:r>
        <w:rPr/>
        <w:t xml:space="preserve"> (ch. XVII, XVIII, XXI) porterait à n’y voir qu’un mythe. Mais le récit maigre et concis de Marc, qui représente ici évidemment la rédaction primitive, suppose un fait réel, qui plus tard a fourni le thème de développements légendaires.</w:t>
      </w:r>
    </w:p>
  </w:footnote>
  <w:footnote w:id="339">
    <w:p>
      <w:pPr>
        <w:pStyle w:val="Notedebasdepage"/>
      </w:pPr>
      <w:r>
        <w:rPr>
          <w:rStyle w:val="Appelnotedebasdep"/>
        </w:rPr>
        <w:footnoteRef/>
        <w:t xml:space="preserve"> </w:t>
      </w:r>
      <w:r>
        <w:rPr/>
        <w:t xml:space="preserve">Matth., IV, 12 ; Marc, I, 14 ; Luc, IV, 14 ; Jean, IV, 3.</w:t>
      </w:r>
    </w:p>
  </w:footnote>
  <w:footnote w:id="340">
    <w:p>
      <w:pPr>
        <w:pStyle w:val="Notedebasdepage"/>
      </w:pPr>
      <w:r>
        <w:rPr>
          <w:rStyle w:val="Appelnotedebasdep"/>
        </w:rPr>
        <w:footnoteRef/>
        <w:t xml:space="preserve"> </w:t>
      </w:r>
      <w:r>
        <w:rPr/>
        <w:t xml:space="preserve">Matth., VII, 29 ; Marc, I, 22 ; Luc, IV, 32.</w:t>
      </w:r>
    </w:p>
  </w:footnote>
  <w:footnote w:id="341">
    <w:p>
      <w:pPr>
        <w:pStyle w:val="Notedebasdepage"/>
      </w:pPr>
      <w:r>
        <w:rPr>
          <w:rStyle w:val="Appelnotedebasdep"/>
        </w:rPr>
        <w:footnoteRef/>
        <w:t xml:space="preserve"> </w:t>
      </w:r>
      <w:r>
        <w:rPr/>
        <w:t xml:space="preserve">Marc, I, 14-15.</w:t>
      </w:r>
    </w:p>
  </w:footnote>
  <w:footnote w:id="342">
    <w:p>
      <w:pPr>
        <w:pStyle w:val="Notedebasdepage"/>
      </w:pPr>
      <w:r>
        <w:rPr>
          <w:rStyle w:val="Appelnotedebasdep"/>
        </w:rPr>
        <w:footnoteRef/>
        <w:t xml:space="preserve"> </w:t>
      </w:r>
      <w:r>
        <w:rPr/>
        <w:t xml:space="preserve">Marc, XV, 43.</w:t>
      </w:r>
    </w:p>
  </w:footnote>
  <w:footnote w:id="343">
    <w:p>
      <w:pPr>
        <w:pStyle w:val="Notedebasdepage"/>
      </w:pPr>
      <w:r>
        <w:rPr>
          <w:rStyle w:val="Appelnotedebasdep"/>
        </w:rPr>
        <w:footnoteRef/>
        <w:t xml:space="preserve"> </w:t>
      </w:r>
      <w:r>
        <w:rPr/>
        <w:t xml:space="preserve">Voir ci-dessus, p. 78-79.</w:t>
      </w:r>
    </w:p>
  </w:footnote>
  <w:footnote w:id="344">
    <w:p>
      <w:pPr>
        <w:pStyle w:val="Notedebasdepage"/>
      </w:pPr>
      <w:r>
        <w:rPr>
          <w:rStyle w:val="Appelnotedebasdep"/>
        </w:rPr>
        <w:footnoteRef/>
        <w:t xml:space="preserve"> </w:t>
      </w:r>
      <w:r>
        <w:rPr/>
        <w:t xml:space="preserve"> Jean, XII, 31 ; XIV, 30 ; XVI, 14. Comp. </w:t>
      </w:r>
      <w:r>
        <w:rPr>
          <w:i/>
        </w:rPr>
        <w:t xml:space="preserve">II Cor</w:t>
      </w:r>
      <w:r>
        <w:rPr/>
        <w:t xml:space="preserve">., IV, 4 ; </w:t>
      </w:r>
      <w:r>
        <w:rPr>
          <w:i/>
        </w:rPr>
        <w:t xml:space="preserve">Ephes</w:t>
      </w:r>
      <w:r>
        <w:rPr/>
        <w:t xml:space="preserve">., VI, 2.</w:t>
      </w:r>
    </w:p>
  </w:footnote>
  <w:footnote w:id="345">
    <w:p>
      <w:pPr>
        <w:pStyle w:val="Notedebasdepage"/>
      </w:pPr>
      <w:r>
        <w:rPr>
          <w:rStyle w:val="Appelnotedebasdep"/>
        </w:rPr>
        <w:footnoteRef/>
        <w:t xml:space="preserve"> </w:t>
      </w:r>
      <w:r>
        <w:rPr/>
        <w:t xml:space="preserve">Jean, I, 10 ; VII, 7 ; XIV, 17, 22, 27 ; XV, 18 et suiv. ; XVI, 8, 20, 33 ; XVII, 9, 14, 16, 25. Cette nuance du mot « monde » est surtout caractérisée dans les écrits de Paul et de Jean.</w:t>
      </w:r>
    </w:p>
  </w:footnote>
  <w:footnote w:id="346">
    <w:p>
      <w:pPr>
        <w:pStyle w:val="Notedebasdepage"/>
      </w:pPr>
      <w:r>
        <w:rPr>
          <w:rStyle w:val="Appelnotedebasdep"/>
        </w:rPr>
        <w:footnoteRef/>
        <w:t xml:space="preserve"> </w:t>
      </w:r>
      <w:r>
        <w:rPr/>
        <w:t xml:space="preserve">Matth., XIX, 30 ; XX, 16 ; Marc, X, 31 ; Luc, XIII, 30.</w:t>
      </w:r>
    </w:p>
  </w:footnote>
  <w:footnote w:id="347">
    <w:p>
      <w:pPr>
        <w:pStyle w:val="Notedebasdepage"/>
      </w:pPr>
      <w:r>
        <w:rPr>
          <w:rStyle w:val="Appelnotedebasdep"/>
        </w:rPr>
        <w:footnoteRef/>
        <w:t xml:space="preserve"> </w:t>
      </w:r>
      <w:r>
        <w:rPr/>
        <w:t xml:space="preserve">Matth., XIII, 24 et suiv.</w:t>
      </w:r>
    </w:p>
  </w:footnote>
  <w:footnote w:id="348">
    <w:p>
      <w:pPr>
        <w:pStyle w:val="Notedebasdepage"/>
      </w:pPr>
      <w:r>
        <w:rPr>
          <w:rStyle w:val="Appelnotedebasdep"/>
        </w:rPr>
        <w:footnoteRef/>
        <w:t xml:space="preserve"> </w:t>
      </w:r>
      <w:r>
        <w:rPr/>
        <w:t xml:space="preserve">Matth., XIII, 47 et suiv.</w:t>
      </w:r>
    </w:p>
  </w:footnote>
  <w:footnote w:id="349">
    <w:p>
      <w:pPr>
        <w:pStyle w:val="Notedebasdepage"/>
      </w:pPr>
      <w:r>
        <w:rPr>
          <w:rStyle w:val="Appelnotedebasdep"/>
        </w:rPr>
        <w:footnoteRef/>
        <w:t xml:space="preserve"> </w:t>
      </w:r>
      <w:r>
        <w:rPr/>
        <w:t xml:space="preserve">Matth., XIII, 31 et suiv. ; Marc, IV, 31 et suiv. ; Luc, XIII, 19 et suiv.</w:t>
      </w:r>
    </w:p>
  </w:footnote>
  <w:footnote w:id="350">
    <w:p>
      <w:pPr>
        <w:pStyle w:val="Notedebasdepage"/>
      </w:pPr>
      <w:r>
        <w:rPr>
          <w:rStyle w:val="Appelnotedebasdep"/>
        </w:rPr>
        <w:footnoteRef/>
        <w:t xml:space="preserve"> </w:t>
      </w:r>
      <w:r>
        <w:rPr/>
        <w:t xml:space="preserve">Matth., XIII, 33 ; Luc, XIII, 21.</w:t>
      </w:r>
    </w:p>
  </w:footnote>
  <w:footnote w:id="351">
    <w:p>
      <w:pPr>
        <w:pStyle w:val="Notedebasdepage"/>
      </w:pPr>
      <w:r>
        <w:rPr>
          <w:rStyle w:val="Appelnotedebasdep"/>
        </w:rPr>
        <w:footnoteRef/>
        <w:t xml:space="preserve"> </w:t>
      </w:r>
      <w:r>
        <w:rPr/>
        <w:t xml:space="preserve">Matth., XIII entier ; XVIII, 23 et suiv. ; XX, 1 et suiv. ; Luc, XIII, 18 et suiv.</w:t>
      </w:r>
    </w:p>
  </w:footnote>
  <w:footnote w:id="352">
    <w:p>
      <w:pPr>
        <w:pStyle w:val="Notedebasdepage"/>
      </w:pPr>
      <w:r>
        <w:rPr>
          <w:rStyle w:val="Appelnotedebasdep"/>
        </w:rPr>
        <w:footnoteRef/>
        <w:t xml:space="preserve"> </w:t>
      </w:r>
      <w:r>
        <w:rPr/>
        <w:t xml:space="preserve">Matth., XXII, 30.</w:t>
      </w:r>
    </w:p>
  </w:footnote>
  <w:footnote w:id="353">
    <w:p>
      <w:pPr>
        <w:pStyle w:val="Notedebasdepage"/>
      </w:pPr>
      <w:r>
        <w:rPr>
          <w:rStyle w:val="Appelnotedebasdep"/>
        </w:rPr>
        <w:footnoteRef/>
        <w:t xml:space="preserve"> </w:t>
      </w:r>
      <w:r>
        <w:rPr/>
        <w:t xml:space="preserve"> [Greek : Apikatastasis pantôn.] </w:t>
      </w:r>
      <w:r>
        <w:rPr>
          <w:i/>
        </w:rPr>
        <w:t xml:space="preserve">Act.</w:t>
      </w:r>
      <w:r>
        <w:rPr/>
        <w:t xml:space="preserve">, III, 21</w:t>
      </w:r>
    </w:p>
  </w:footnote>
  <w:footnote w:id="354">
    <w:p>
      <w:pPr>
        <w:pStyle w:val="Notedebasdepage"/>
      </w:pPr>
      <w:r>
        <w:rPr>
          <w:rStyle w:val="Appelnotedebasdep"/>
        </w:rPr>
        <w:footnoteRef/>
        <w:t xml:space="preserve"> </w:t>
      </w:r>
      <w:r>
        <w:rPr/>
        <w:t xml:space="preserve">Matth., XVII, 23-26 ; XXII, 16-22.</w:t>
      </w:r>
    </w:p>
  </w:footnote>
  <w:footnote w:id="355">
    <w:p>
      <w:pPr>
        <w:pStyle w:val="Notedebasdepage"/>
      </w:pPr>
      <w:r>
        <w:rPr>
          <w:rStyle w:val="Appelnotedebasdep"/>
        </w:rPr>
        <w:footnoteRef/>
        <w:t xml:space="preserve"> </w:t>
      </w:r>
      <w:r>
        <w:rPr/>
        <w:t xml:space="preserve">Jean, VI, 15.</w:t>
      </w:r>
    </w:p>
  </w:footnote>
  <w:footnote w:id="356">
    <w:p>
      <w:pPr>
        <w:pStyle w:val="Notedebasdepage"/>
      </w:pPr>
      <w:r>
        <w:rPr>
          <w:rStyle w:val="Appelnotedebasdep"/>
        </w:rPr>
        <w:footnoteRef/>
        <w:t xml:space="preserve"> </w:t>
      </w:r>
      <w:r>
        <w:rPr/>
        <w:t xml:space="preserve"> V. Stobée, </w:t>
      </w:r>
      <w:r>
        <w:rPr>
          <w:i/>
        </w:rPr>
        <w:t xml:space="preserve">Florilegium</w:t>
      </w:r>
      <w:r>
        <w:rPr/>
        <w:t xml:space="preserve">, ch. LXII, LXXVII, LXXXVI et suiv.</w:t>
      </w:r>
    </w:p>
  </w:footnote>
  <w:footnote w:id="357">
    <w:p>
      <w:pPr>
        <w:pStyle w:val="Notedebasdepage"/>
      </w:pPr>
      <w:r>
        <w:rPr>
          <w:rStyle w:val="Appelnotedebasdep"/>
        </w:rPr>
        <w:footnoteRef/>
        <w:t xml:space="preserve"> </w:t>
      </w:r>
      <w:r>
        <w:rPr/>
        <w:t xml:space="preserve">Jean, VIII, 32 et suiv.</w:t>
      </w:r>
    </w:p>
  </w:footnote>
  <w:footnote w:id="358">
    <w:p>
      <w:pPr>
        <w:pStyle w:val="Notedebasdepage"/>
      </w:pPr>
      <w:r>
        <w:rPr>
          <w:rStyle w:val="Appelnotedebasdep"/>
        </w:rPr>
        <w:footnoteRef/>
        <w:t xml:space="preserve"> </w:t>
      </w:r>
      <w:r>
        <w:rPr>
          <w:i/>
        </w:rPr>
        <w:t xml:space="preserve">Act.</w:t>
      </w:r>
      <w:r>
        <w:rPr/>
        <w:t xml:space="preserve">, III, 21.</w:t>
      </w:r>
    </w:p>
  </w:footnote>
  <w:footnote w:id="359">
    <w:p>
      <w:pPr>
        <w:pStyle w:val="Notedebasdepage"/>
      </w:pPr>
      <w:r>
        <w:rPr>
          <w:rStyle w:val="Appelnotedebasdep"/>
        </w:rPr>
        <w:footnoteRef/>
        <w:t xml:space="preserve"> </w:t>
      </w:r>
      <w:r>
        <w:rPr>
          <w:i/>
        </w:rPr>
        <w:t xml:space="preserve">Apocal.</w:t>
      </w:r>
      <w:r>
        <w:rPr/>
        <w:t xml:space="preserve">, XXI, 1, 2, 5.</w:t>
      </w:r>
    </w:p>
  </w:footnote>
  <w:footnote w:id="360">
    <w:p>
      <w:pPr>
        <w:pStyle w:val="Notedebasdepage"/>
      </w:pPr>
      <w:r>
        <w:rPr>
          <w:rStyle w:val="Appelnotedebasdep"/>
        </w:rPr>
        <w:footnoteRef/>
        <w:t xml:space="preserve"> </w:t>
      </w:r>
      <w:r>
        <w:rPr/>
        <w:t xml:space="preserve">Les sectes millénaires de l’Angleterre présentent le même contraste, je veux dire la croyance à une prochaine fin du monde, et néanmoins beaucoup de bon sens dans la pratique de la vie, une entente extraordinaire des affaires commerciales et de l’industrie.</w:t>
      </w:r>
    </w:p>
  </w:footnote>
  <w:footnote w:id="361">
    <w:p>
      <w:pPr>
        <w:pStyle w:val="Notedebasdepage"/>
      </w:pPr>
      <w:r>
        <w:rPr>
          <w:rStyle w:val="Appelnotedebasdep"/>
        </w:rPr>
        <w:footnoteRef/>
        <w:t xml:space="preserve"> </w:t>
      </w:r>
      <w:r>
        <w:rPr/>
        <w:t xml:space="preserve">Matth., X, 47-48 ; Luc, XII, 41.</w:t>
      </w:r>
    </w:p>
  </w:footnote>
  <w:footnote w:id="362">
    <w:p>
      <w:pPr>
        <w:pStyle w:val="Notedebasdepage"/>
      </w:pPr>
      <w:r>
        <w:rPr>
          <w:rStyle w:val="Appelnotedebasdep"/>
        </w:rPr>
        <w:footnoteRef/>
        <w:t xml:space="preserve"> </w:t>
      </w:r>
      <w:r>
        <w:rPr/>
        <w:t xml:space="preserve">Matth., V, 10 et suiv. ; X entier ; Luc, VI, 22 et suiv. ; Jean, XV, 18 et suiv. ; XVI, 2 et suiv., 20, 33 ; XVII, 14.</w:t>
      </w:r>
    </w:p>
  </w:footnote>
  <w:footnote w:id="363">
    <w:p>
      <w:pPr>
        <w:pStyle w:val="Notedebasdepage"/>
      </w:pPr>
      <w:r>
        <w:rPr>
          <w:rStyle w:val="Appelnotedebasdep"/>
        </w:rPr>
        <w:footnoteRef/>
        <w:t xml:space="preserve"> </w:t>
      </w:r>
      <w:r>
        <w:rPr/>
        <w:t xml:space="preserve">Luc, XVI, 15.</w:t>
      </w:r>
    </w:p>
  </w:footnote>
  <w:footnote w:id="364">
    <w:p>
      <w:pPr>
        <w:pStyle w:val="Notedebasdepage"/>
      </w:pPr>
      <w:r>
        <w:rPr>
          <w:rStyle w:val="Appelnotedebasdep"/>
        </w:rPr>
        <w:footnoteRef/>
        <w:t xml:space="preserve"> </w:t>
      </w:r>
      <w:r>
        <w:rPr/>
        <w:t xml:space="preserve">Matth., V, 3, 10 ; XVIII, 3 ; XIX, 14, 23-24 ; XXI, 3 ; XXII, 2 et suiv. ; Marc, X, 14-15, 23-25 ; Luc, IV, 18 et suiv. ; VI, 20 ; XVIII, 16-17, 24-25.</w:t>
      </w:r>
    </w:p>
  </w:footnote>
  <w:footnote w:id="365">
    <w:p>
      <w:pPr>
        <w:pStyle w:val="Notedebasdepage"/>
      </w:pPr>
      <w:r>
        <w:rPr>
          <w:rStyle w:val="Appelnotedebasdep"/>
        </w:rPr>
        <w:footnoteRef/>
        <w:t xml:space="preserve"> </w:t>
      </w:r>
      <w:r>
        <w:rPr/>
        <w:t xml:space="preserve">Matth., XI, 5.</w:t>
      </w:r>
    </w:p>
  </w:footnote>
  <w:footnote w:id="366">
    <w:p>
      <w:pPr>
        <w:pStyle w:val="Notedebasdepage"/>
      </w:pPr>
      <w:r>
        <w:rPr>
          <w:rStyle w:val="Appelnotedebasdep"/>
        </w:rPr>
        <w:footnoteRef/>
        <w:t xml:space="preserve"> </w:t>
      </w:r>
      <w:r>
        <w:rPr/>
        <w:t xml:space="preserve">Jean, XV, 19 ; XVII, 14, 16.</w:t>
      </w:r>
    </w:p>
  </w:footnote>
  <w:footnote w:id="367">
    <w:p>
      <w:pPr>
        <w:pStyle w:val="Notedebasdepage"/>
      </w:pPr>
      <w:r>
        <w:rPr>
          <w:rStyle w:val="Appelnotedebasdep"/>
        </w:rPr>
        <w:footnoteRef/>
        <w:t xml:space="preserve"> </w:t>
      </w:r>
      <w:r>
        <w:rPr/>
        <w:t xml:space="preserve"> Voir surtout le chapitre XVII de saint Jean, exprimant, sinon un discours réel tenu par Jésus, du moins un sentiment qui était très profond chez ses disciples et qui sûrement venait de lui.</w:t>
      </w:r>
    </w:p>
  </w:footnote>
  <w:footnote w:id="368">
    <w:p>
      <w:pPr>
        <w:pStyle w:val="Notedebasdepage"/>
      </w:pPr>
      <w:r>
        <w:rPr>
          <w:rStyle w:val="Appelnotedebasdep"/>
        </w:rPr>
        <w:footnoteRef/>
        <w:t xml:space="preserve"> </w:t>
      </w:r>
      <w:r>
        <w:rPr/>
        <w:t xml:space="preserve"> Luc, III, 23 ; évangile des Ébionim, dans Epiph., </w:t>
      </w:r>
      <w:r>
        <w:rPr>
          <w:i/>
        </w:rPr>
        <w:t xml:space="preserve">Adv. hær.</w:t>
      </w:r>
      <w:r>
        <w:rPr/>
        <w:t xml:space="preserve"> XXX, 13.</w:t>
      </w:r>
    </w:p>
  </w:footnote>
  <w:footnote w:id="369">
    <w:p>
      <w:pPr>
        <w:pStyle w:val="Notedebasdepage"/>
      </w:pPr>
      <w:r>
        <w:rPr>
          <w:rStyle w:val="Appelnotedebasdep"/>
        </w:rPr>
        <w:footnoteRef/>
        <w:t xml:space="preserve"> </w:t>
      </w:r>
      <w:r>
        <w:rPr/>
        <w:t xml:space="preserve">Jean, I, 37 et suiv.</w:t>
      </w:r>
    </w:p>
  </w:footnote>
  <w:footnote w:id="370">
    <w:p>
      <w:pPr>
        <w:pStyle w:val="Notedebasdepage"/>
      </w:pPr>
      <w:r>
        <w:rPr>
          <w:rStyle w:val="Appelnotedebasdep"/>
        </w:rPr>
        <w:footnoteRef/>
        <w:t xml:space="preserve"> </w:t>
      </w:r>
      <w:r>
        <w:rPr/>
        <w:t xml:space="preserve">I, 5, 26 et suiv.</w:t>
      </w:r>
    </w:p>
  </w:footnote>
  <w:footnote w:id="371">
    <w:p>
      <w:pPr>
        <w:pStyle w:val="Notedebasdepage"/>
      </w:pPr>
      <w:r>
        <w:rPr>
          <w:rStyle w:val="Appelnotedebasdep"/>
        </w:rPr>
        <w:footnoteRef/>
        <w:t xml:space="preserve"> </w:t>
      </w:r>
      <w:r>
        <w:rPr/>
        <w:t xml:space="preserve">Daniel, VII, 13-14. Comp. VIII, 15 ; X, 16.</w:t>
      </w:r>
    </w:p>
  </w:footnote>
  <w:footnote w:id="372">
    <w:p>
      <w:pPr>
        <w:pStyle w:val="Notedebasdepage"/>
      </w:pPr>
      <w:r>
        <w:rPr>
          <w:rStyle w:val="Appelnotedebasdep"/>
        </w:rPr>
        <w:footnoteRef/>
        <w:t xml:space="preserve"> </w:t>
      </w:r>
      <w:r>
        <w:rPr/>
        <w:t xml:space="preserve">Dans Jean, XII, 34, les Juifs ne paraissent pas au courant du sens de ce mot.</w:t>
      </w:r>
    </w:p>
  </w:footnote>
  <w:footnote w:id="373">
    <w:p>
      <w:pPr>
        <w:pStyle w:val="Notedebasdepage"/>
      </w:pPr>
      <w:r>
        <w:rPr>
          <w:rStyle w:val="Appelnotedebasdep"/>
        </w:rPr>
        <w:footnoteRef/>
        <w:t xml:space="preserve"> </w:t>
      </w:r>
      <w:r>
        <w:rPr/>
        <w:t xml:space="preserve"> Livre d’Hénoch, XLVI, 1, 2, 3 ; XLVIII, 2, 3 ; LXII 9, 14 ; LXX, 1 (division de Dillmann) ; Matth., X, 23 ; XIII, 41 ; XVI, 27-28 ; XIX, 28 ; XXIV, 27, 30, 37, 39, 44 ; XXV, 31 ; XXVI, 64 ; Marc, XIII, 26 ; XIV, 62 ; Luc, XII, 40 ; XVII, 24, 26, 30 ; XXI, 27, 36 ; XXII, 69 ; </w:t>
      </w:r>
      <w:r>
        <w:rPr>
          <w:i/>
        </w:rPr>
        <w:t xml:space="preserve">Actes</w:t>
      </w:r>
      <w:r>
        <w:rPr/>
        <w:t xml:space="preserve">, VII, 55. Mais le passage le plus significatif est : Jean, V, 27, rapproché d’</w:t>
      </w:r>
      <w:r>
        <w:rPr>
          <w:i/>
        </w:rPr>
        <w:t xml:space="preserve">Apoc</w:t>
      </w:r>
      <w:r>
        <w:rPr/>
        <w:t xml:space="preserve">., I, 13 ; XIV, 14. L’expression, « Fils de la femme » pour le Messie se trouve une fois dans le livre d’Hénoch, LXII, 8.</w:t>
      </w:r>
    </w:p>
  </w:footnote>
  <w:footnote w:id="374">
    <w:p>
      <w:pPr>
        <w:pStyle w:val="Notedebasdepage"/>
      </w:pPr>
      <w:r>
        <w:rPr>
          <w:rStyle w:val="Appelnotedebasdep"/>
        </w:rPr>
        <w:footnoteRef/>
        <w:t xml:space="preserve"> </w:t>
      </w:r>
      <w:r>
        <w:rPr/>
        <w:t xml:space="preserve">Jean, V, 22, 27.</w:t>
      </w:r>
    </w:p>
  </w:footnote>
  <w:footnote w:id="375">
    <w:p>
      <w:pPr>
        <w:pStyle w:val="Notedebasdepage"/>
      </w:pPr>
      <w:r>
        <w:rPr>
          <w:rStyle w:val="Appelnotedebasdep"/>
        </w:rPr>
        <w:footnoteRef/>
        <w:t xml:space="preserve"> </w:t>
      </w:r>
      <w:r>
        <w:rPr/>
        <w:t xml:space="preserve">Ce titre revient quatre-vingt-trois fois dans les Évangiles, et toujours dans les discours de Jésus.</w:t>
      </w:r>
    </w:p>
  </w:footnote>
  <w:footnote w:id="376">
    <w:p>
      <w:pPr>
        <w:pStyle w:val="Notedebasdepage"/>
      </w:pPr>
      <w:r>
        <w:rPr>
          <w:rStyle w:val="Appelnotedebasdep"/>
        </w:rPr>
        <w:footnoteRef/>
        <w:t xml:space="preserve"> </w:t>
      </w:r>
      <w:r>
        <w:rPr/>
        <w:t xml:space="preserve"> Il est vrai que Tell-Hum, qu’on identifie d’ordinaire avec Capharnahum, offre des restes d’assez beaux monuments. Mais, outre que cette identification est douteuse, lesdits monuments peuvent être du II</w:t>
      </w:r>
      <w:r>
        <w:rPr>
          <w:vertAlign w:val="superscript"/>
        </w:rPr>
        <w:t>e</w:t>
      </w:r>
      <w:r>
        <w:rPr/>
        <w:t xml:space="preserve"> et du III</w:t>
      </w:r>
      <w:r>
        <w:rPr>
          <w:vertAlign w:val="superscript"/>
        </w:rPr>
        <w:t>e</w:t>
      </w:r>
      <w:r>
        <w:rPr/>
        <w:t xml:space="preserve"> siècle après J.-C.</w:t>
      </w:r>
    </w:p>
  </w:footnote>
  <w:footnote w:id="377">
    <w:p>
      <w:pPr>
        <w:pStyle w:val="Notedebasdepage"/>
      </w:pPr>
      <w:r>
        <w:rPr>
          <w:rStyle w:val="Appelnotedebasdep"/>
        </w:rPr>
        <w:footnoteRef/>
        <w:t xml:space="preserve"> </w:t>
      </w:r>
      <w:r>
        <w:rPr/>
        <w:t xml:space="preserve"> B.J., III, X, 8.</w:t>
      </w:r>
    </w:p>
  </w:footnote>
  <w:footnote w:id="378">
    <w:p>
      <w:pPr>
        <w:pStyle w:val="Notedebasdepage"/>
      </w:pPr>
      <w:r>
        <w:rPr>
          <w:rStyle w:val="Appelnotedebasdep"/>
        </w:rPr>
        <w:footnoteRef/>
        <w:t xml:space="preserve"> </w:t>
      </w:r>
      <w:r>
        <w:rPr/>
        <w:t xml:space="preserve">Matth., IX, 4 ; Marc, II, 4.</w:t>
      </w:r>
    </w:p>
  </w:footnote>
  <w:footnote w:id="379">
    <w:p>
      <w:pPr>
        <w:pStyle w:val="Notedebasdepage"/>
      </w:pPr>
      <w:r>
        <w:rPr>
          <w:rStyle w:val="Appelnotedebasdep"/>
        </w:rPr>
        <w:footnoteRef/>
        <w:t xml:space="preserve"> </w:t>
      </w:r>
      <w:r>
        <w:rPr/>
        <w:t xml:space="preserve">Matth., XIII, 54 et suiv. ; Marc, VI, 4 et suiv. ; Luc, IV, 46 et suiv., 23-24 ; Jean, IV, 44.</w:t>
      </w:r>
    </w:p>
  </w:footnote>
  <w:footnote w:id="380">
    <w:p>
      <w:pPr>
        <w:pStyle w:val="Notedebasdepage"/>
      </w:pPr>
      <w:r>
        <w:rPr>
          <w:rStyle w:val="Appelnotedebasdep"/>
        </w:rPr>
        <w:footnoteRef/>
        <w:t xml:space="preserve"> </w:t>
      </w:r>
      <w:r>
        <w:rPr/>
        <w:t xml:space="preserve">Marc, VI, 3. Cf. Matth., XII, 58 ; Luc, IV, 23.</w:t>
      </w:r>
    </w:p>
  </w:footnote>
  <w:footnote w:id="381">
    <w:p>
      <w:pPr>
        <w:pStyle w:val="Notedebasdepage"/>
      </w:pPr>
      <w:r>
        <w:rPr>
          <w:rStyle w:val="Appelnotedebasdep"/>
        </w:rPr>
        <w:footnoteRef/>
        <w:t xml:space="preserve"> </w:t>
      </w:r>
      <w:r>
        <w:rPr/>
        <w:t xml:space="preserve">Matth., XIII, 57 ; Marc, VI, 4 ; Jean, VII, 3 et suiv.</w:t>
      </w:r>
    </w:p>
  </w:footnote>
  <w:footnote w:id="382">
    <w:p>
      <w:pPr>
        <w:pStyle w:val="Notedebasdepage"/>
      </w:pPr>
      <w:r>
        <w:rPr>
          <w:rStyle w:val="Appelnotedebasdep"/>
        </w:rPr>
        <w:footnoteRef/>
        <w:t xml:space="preserve"> </w:t>
      </w:r>
      <w:r>
        <w:rPr/>
        <w:t xml:space="preserve"> Luc, IV, 29. Probablement il s’agit ici du rocher à pic qui est très près de Nazareth, au-dessus de l’église actuelle des Maronites, et non du prétendu </w:t>
      </w:r>
      <w:r>
        <w:rPr>
          <w:i/>
        </w:rPr>
        <w:t xml:space="preserve">Mont de la Précipitation</w:t>
      </w:r>
      <w:r>
        <w:rPr/>
        <w:t xml:space="preserve">, à une heure de Nazareth. V. Robinson, II, 335 et suiv.</w:t>
      </w:r>
    </w:p>
  </w:footnote>
  <w:footnote w:id="383">
    <w:p>
      <w:pPr>
        <w:pStyle w:val="Notedebasdepage"/>
      </w:pPr>
      <w:r>
        <w:rPr>
          <w:rStyle w:val="Appelnotedebasdep"/>
        </w:rPr>
        <w:footnoteRef/>
        <w:t xml:space="preserve"> </w:t>
      </w:r>
      <w:r>
        <w:rPr/>
        <w:t xml:space="preserve">Matth., IV, 13 ; Luc, IV, 31.</w:t>
      </w:r>
    </w:p>
  </w:footnote>
  <w:footnote w:id="384">
    <w:p>
      <w:pPr>
        <w:pStyle w:val="Notedebasdepage"/>
      </w:pPr>
      <w:r>
        <w:rPr>
          <w:rStyle w:val="Appelnotedebasdep"/>
        </w:rPr>
        <w:footnoteRef/>
        <w:t xml:space="preserve"> </w:t>
      </w:r>
      <w:r>
        <w:rPr/>
        <w:t xml:space="preserve">A Tell-Hum, à Irbid (Arbela), à Meiron (Mero), à Jiseh (Giscala), à Kasyoun, à Nabartein, deux à Kefr-Bereim.</w:t>
      </w:r>
    </w:p>
  </w:footnote>
  <w:footnote w:id="385">
    <w:p>
      <w:pPr>
        <w:pStyle w:val="Notedebasdepage"/>
      </w:pPr>
      <w:r>
        <w:rPr>
          <w:rStyle w:val="Appelnotedebasdep"/>
        </w:rPr>
        <w:footnoteRef/>
        <w:t xml:space="preserve"> </w:t>
      </w:r>
      <w:r>
        <w:rPr/>
        <w:t xml:space="preserve"> Je n’ose encore me prononcer sur l’âge de ces monuments, ni par conséquent affirmer que Jésus ait enseigné dans aucun d’eux. Quel intérêt n’aurait pas, dans une telle hypothèse, la synagogue de Tell-Hum La grande synagogue de Kefr-Bereim me semble la plus ancienne de toutes. Elle est d’un style assez pur. Celle de Kasyoun porte une inscription grecque du temps de Septime Sévère. La grande importance que prit le judaïsme dans la haute Galilée après la guerre des Romains permet de croire que plusieurs de ces édifices ne remontent qu’au III</w:t>
      </w:r>
      <w:r>
        <w:rPr>
          <w:vertAlign w:val="superscript"/>
        </w:rPr>
        <w:t>e</w:t>
      </w:r>
      <w:r>
        <w:rPr/>
        <w:t xml:space="preserve"> siècle, époque où Tibériade devint une sorte de capitale du judaïsme.</w:t>
      </w:r>
    </w:p>
  </w:footnote>
  <w:footnote w:id="386">
    <w:p>
      <w:pPr>
        <w:pStyle w:val="Notedebasdepage"/>
      </w:pPr>
      <w:r>
        <w:rPr>
          <w:rStyle w:val="Appelnotedebasdep"/>
        </w:rPr>
        <w:footnoteRef/>
        <w:t xml:space="preserve"> </w:t>
      </w:r>
      <w:r>
        <w:rPr>
          <w:i/>
        </w:rPr>
        <w:t xml:space="preserve">II Esdr</w:t>
      </w:r>
      <w:r>
        <w:rPr/>
        <w:t xml:space="preserve">., VIII, 4 ; Matth., XXIII, 6 ; Epist. Jac., II, 3 ; Mischna, </w:t>
      </w:r>
      <w:r>
        <w:rPr>
          <w:i/>
        </w:rPr>
        <w:t xml:space="preserve">Megilla</w:t>
      </w:r>
      <w:r>
        <w:rPr/>
        <w:t xml:space="preserve">, III, 1 ; </w:t>
      </w:r>
      <w:r>
        <w:rPr>
          <w:i/>
        </w:rPr>
        <w:t xml:space="preserve">Rosch hasschana</w:t>
      </w:r>
      <w:r>
        <w:rPr/>
        <w:t xml:space="preserve">, IV, 7, etc. Voir surtout la curieuse description de la synagogue d’Alexandrie dans le Talmud de Babylone, </w:t>
      </w:r>
      <w:r>
        <w:rPr>
          <w:i/>
        </w:rPr>
        <w:t xml:space="preserve">Sukka</w:t>
      </w:r>
      <w:r>
        <w:rPr/>
        <w:t xml:space="preserve">, 51 </w:t>
      </w:r>
      <w:r>
        <w:rPr>
          <w:i/>
        </w:rPr>
        <w:t xml:space="preserve">b</w:t>
      </w:r>
      <w:r>
        <w:rPr/>
        <w:t xml:space="preserve">.</w:t>
      </w:r>
    </w:p>
  </w:footnote>
  <w:footnote w:id="387">
    <w:p>
      <w:pPr>
        <w:pStyle w:val="Notedebasdepage"/>
      </w:pPr>
      <w:r>
        <w:rPr>
          <w:rStyle w:val="Appelnotedebasdep"/>
        </w:rPr>
        <w:footnoteRef/>
        <w:t xml:space="preserve"> </w:t>
      </w:r>
      <w:r>
        <w:rPr/>
        <w:t xml:space="preserve"> Philon, cité dans Eusèbe, </w:t>
      </w:r>
      <w:r>
        <w:rPr>
          <w:i/>
        </w:rPr>
        <w:t xml:space="preserve">Proep. evang</w:t>
      </w:r>
      <w:r>
        <w:rPr/>
        <w:t xml:space="preserve">., VIII, 7, et </w:t>
      </w:r>
      <w:r>
        <w:rPr>
          <w:i/>
        </w:rPr>
        <w:t xml:space="preserve">Quod omnis probus liber</w:t>
      </w:r>
      <w:r>
        <w:rPr/>
        <w:t xml:space="preserve">, § 12 ; Luc, IV, 16 ; </w:t>
      </w:r>
      <w:r>
        <w:rPr>
          <w:i/>
        </w:rPr>
        <w:t xml:space="preserve">Act.</w:t>
      </w:r>
      <w:r>
        <w:rPr/>
        <w:t xml:space="preserve"> XIII, 15 ; XV, 21 ; Mischna, </w:t>
      </w:r>
      <w:r>
        <w:rPr>
          <w:i/>
        </w:rPr>
        <w:t xml:space="preserve">Megilla</w:t>
      </w:r>
      <w:r>
        <w:rPr/>
        <w:t xml:space="preserve">, III, 4 et suiv.</w:t>
      </w:r>
    </w:p>
  </w:footnote>
  <w:footnote w:id="388">
    <w:p>
      <w:pPr>
        <w:pStyle w:val="Notedebasdepage"/>
      </w:pPr>
      <w:r>
        <w:rPr>
          <w:rStyle w:val="Appelnotedebasdep"/>
        </w:rPr>
        <w:footnoteRef/>
        <w:t xml:space="preserve"> </w:t>
      </w:r>
      <w:r>
        <w:rPr/>
        <w:t xml:space="preserve">[Greek : Archisunagôgos].</w:t>
      </w:r>
    </w:p>
  </w:footnote>
  <w:footnote w:id="389">
    <w:p>
      <w:pPr>
        <w:pStyle w:val="Notedebasdepage"/>
      </w:pPr>
      <w:r>
        <w:rPr>
          <w:rStyle w:val="Appelnotedebasdep"/>
        </w:rPr>
        <w:footnoteRef/>
        <w:t xml:space="preserve"> </w:t>
      </w:r>
      <w:r>
        <w:rPr/>
        <w:t xml:space="preserve">[Greek : Presbuteroi].</w:t>
      </w:r>
    </w:p>
  </w:footnote>
  <w:footnote w:id="390">
    <w:p>
      <w:pPr>
        <w:pStyle w:val="Notedebasdepage"/>
      </w:pPr>
      <w:r>
        <w:rPr>
          <w:rStyle w:val="Appelnotedebasdep"/>
        </w:rPr>
        <w:footnoteRef/>
        <w:t xml:space="preserve"> </w:t>
      </w:r>
      <w:r>
        <w:rPr/>
        <w:t xml:space="preserve">[Greek : Hupêretês].</w:t>
      </w:r>
    </w:p>
  </w:footnote>
  <w:footnote w:id="391">
    <w:p>
      <w:pPr>
        <w:pStyle w:val="Notedebasdepage"/>
      </w:pPr>
      <w:r>
        <w:rPr>
          <w:rStyle w:val="Appelnotedebasdep"/>
        </w:rPr>
        <w:footnoteRef/>
        <w:t xml:space="preserve"> </w:t>
      </w:r>
      <w:r>
        <w:rPr/>
        <w:t xml:space="preserve">[Greek : Apostoloi] ou [Greek : angeloi].</w:t>
      </w:r>
    </w:p>
  </w:footnote>
  <w:footnote w:id="392">
    <w:p>
      <w:pPr>
        <w:pStyle w:val="Notedebasdepage"/>
      </w:pPr>
      <w:r>
        <w:rPr>
          <w:rStyle w:val="Appelnotedebasdep"/>
        </w:rPr>
        <w:footnoteRef/>
        <w:t xml:space="preserve"> </w:t>
      </w:r>
      <w:r>
        <w:rPr/>
        <w:t xml:space="preserve"> [Greek : Diachonos]. Marc, V, 22, 35 et suiv. ; Luc, IV, 20 ; VII, 3 ; VIII, 41, 49 ; XIII, 14 ; </w:t>
      </w:r>
      <w:r>
        <w:rPr>
          <w:i/>
        </w:rPr>
        <w:t xml:space="preserve">Act</w:t>
      </w:r>
      <w:r>
        <w:rPr/>
        <w:t xml:space="preserve">., XIII, 15 ; XVIII, 8, 17 ; </w:t>
      </w:r>
      <w:r>
        <w:rPr>
          <w:i/>
        </w:rPr>
        <w:t xml:space="preserve">Apoc</w:t>
      </w:r>
      <w:r>
        <w:rPr/>
        <w:t xml:space="preserve">., II, 1 ; Mischna, </w:t>
      </w:r>
      <w:r>
        <w:rPr>
          <w:i/>
        </w:rPr>
        <w:t xml:space="preserve">Joma</w:t>
      </w:r>
      <w:r>
        <w:rPr/>
        <w:t xml:space="preserve">, VII, 1 ; </w:t>
      </w:r>
      <w:r>
        <w:rPr>
          <w:i/>
        </w:rPr>
        <w:t xml:space="preserve">Rosch hasschana</w:t>
      </w:r>
      <w:r>
        <w:rPr/>
        <w:t xml:space="preserve">, IV, 9 ; Talm. de Jérus., </w:t>
      </w:r>
      <w:r>
        <w:rPr>
          <w:i/>
        </w:rPr>
        <w:t xml:space="preserve">Sanhédrin</w:t>
      </w:r>
      <w:r>
        <w:rPr/>
        <w:t xml:space="preserve">, I, 7 ; Epiph., </w:t>
      </w:r>
      <w:r>
        <w:rPr>
          <w:i/>
        </w:rPr>
        <w:t xml:space="preserve">Adv. hær</w:t>
      </w:r>
      <w:r>
        <w:rPr/>
        <w:t xml:space="preserve">., XXX, 4, 11.</w:t>
      </w:r>
    </w:p>
  </w:footnote>
  <w:footnote w:id="393">
    <w:p>
      <w:pPr>
        <w:pStyle w:val="Notedebasdepage"/>
      </w:pPr>
      <w:r>
        <w:rPr>
          <w:rStyle w:val="Appelnotedebasdep"/>
        </w:rPr>
        <w:footnoteRef/>
        <w:t xml:space="preserve"> </w:t>
      </w:r>
      <w:r>
        <w:rPr/>
        <w:t xml:space="preserve"> Inscription de Bérénice, dans le </w:t>
      </w:r>
      <w:r>
        <w:rPr>
          <w:i/>
        </w:rPr>
        <w:t xml:space="preserve">Corpus inscr. græc.</w:t>
      </w:r>
      <w:r>
        <w:rPr/>
        <w:t xml:space="preserve">, n° 5361 ; inscription de Kasyoun, dans la </w:t>
      </w:r>
      <w:r>
        <w:rPr>
          <w:i/>
        </w:rPr>
        <w:t xml:space="preserve">Mission de Phénicie</w:t>
      </w:r>
      <w:r>
        <w:rPr/>
        <w:t xml:space="preserve">, livre IV [sous presse].</w:t>
      </w:r>
    </w:p>
  </w:footnote>
  <w:footnote w:id="394">
    <w:p>
      <w:pPr>
        <w:pStyle w:val="Notedebasdepage"/>
      </w:pPr>
      <w:r>
        <w:rPr>
          <w:rStyle w:val="Appelnotedebasdep"/>
        </w:rPr>
        <w:footnoteRef/>
        <w:t xml:space="preserve"> </w:t>
      </w:r>
      <w:r>
        <w:rPr/>
        <w:t xml:space="preserve"> Matth., V, 25 ; X, 17 ; XXIII, 34 ; Marc, XIII, 9 ; Luc, XII, 11 ; XXI, 12 ; </w:t>
      </w:r>
      <w:r>
        <w:rPr>
          <w:i/>
        </w:rPr>
        <w:t xml:space="preserve">Act.</w:t>
      </w:r>
      <w:r>
        <w:rPr/>
        <w:t xml:space="preserve">, XXII, 19 ; XXVI, 11 ; </w:t>
      </w:r>
      <w:r>
        <w:rPr>
          <w:i/>
        </w:rPr>
        <w:t xml:space="preserve">II Cor.</w:t>
      </w:r>
      <w:r>
        <w:rPr/>
        <w:t xml:space="preserve">, XI, 24 ; Mischna, </w:t>
      </w:r>
      <w:r>
        <w:rPr>
          <w:i/>
        </w:rPr>
        <w:t xml:space="preserve">Macoth</w:t>
      </w:r>
      <w:r>
        <w:rPr/>
        <w:t xml:space="preserve">, III, 12 Talmud de Babyl., </w:t>
      </w:r>
      <w:r>
        <w:rPr>
          <w:i/>
        </w:rPr>
        <w:t xml:space="preserve">Megilla</w:t>
      </w:r>
      <w:r>
        <w:rPr/>
        <w:t xml:space="preserve">, 7b ; Epiph., </w:t>
      </w:r>
      <w:r>
        <w:rPr>
          <w:i/>
        </w:rPr>
        <w:t xml:space="preserve">Adv. hær.</w:t>
      </w:r>
      <w:r>
        <w:rPr/>
        <w:t xml:space="preserve">, XXX, 11.</w:t>
      </w:r>
    </w:p>
  </w:footnote>
  <w:footnote w:id="395">
    <w:p>
      <w:pPr>
        <w:pStyle w:val="Notedebasdepage"/>
      </w:pPr>
      <w:r>
        <w:rPr>
          <w:rStyle w:val="Appelnotedebasdep"/>
        </w:rPr>
        <w:footnoteRef/>
        <w:t xml:space="preserve"> </w:t>
      </w:r>
      <w:r>
        <w:rPr/>
        <w:t xml:space="preserve"> Matth., XXIII, 6 ; Epist. Jac., II 3 ; Talm. de Bab., </w:t>
      </w:r>
      <w:r>
        <w:rPr>
          <w:i/>
        </w:rPr>
        <w:t xml:space="preserve">Sukka</w:t>
      </w:r>
      <w:r>
        <w:rPr/>
        <w:t xml:space="preserve">, 51 </w:t>
      </w:r>
      <w:r>
        <w:rPr>
          <w:i/>
        </w:rPr>
        <w:t xml:space="preserve">b</w:t>
      </w:r>
      <w:r>
        <w:rPr/>
        <w:t xml:space="preserve">.</w:t>
      </w:r>
    </w:p>
  </w:footnote>
  <w:footnote w:id="396">
    <w:p>
      <w:pPr>
        <w:pStyle w:val="Notedebasdepage"/>
      </w:pPr>
      <w:r>
        <w:rPr>
          <w:rStyle w:val="Appelnotedebasdep"/>
        </w:rPr>
        <w:footnoteRef/>
        <w:t xml:space="preserve"> </w:t>
      </w:r>
      <w:r>
        <w:rPr/>
        <w:t xml:space="preserve">Matth., IV, 23 ; IX, 35 ; Marc, I, 21,39 ; VI, 2 ; Luc, IV, 15, 46, 31, 44 ; XIII, 10 ; Jean, XVIII, 20.</w:t>
      </w:r>
    </w:p>
  </w:footnote>
  <w:footnote w:id="397">
    <w:p>
      <w:pPr>
        <w:pStyle w:val="Notedebasdepage"/>
      </w:pPr>
      <w:r>
        <w:rPr>
          <w:rStyle w:val="Appelnotedebasdep"/>
        </w:rPr>
        <w:footnoteRef/>
        <w:t xml:space="preserve"> </w:t>
      </w:r>
      <w:r>
        <w:rPr/>
        <w:t xml:space="preserve"> Luc, IV, 16 et suiv. Comp. Mischna, </w:t>
      </w:r>
      <w:r>
        <w:rPr>
          <w:i/>
        </w:rPr>
        <w:t xml:space="preserve">Joma</w:t>
      </w:r>
      <w:r>
        <w:rPr/>
        <w:t xml:space="preserve">, VII, 1.</w:t>
      </w:r>
    </w:p>
  </w:footnote>
  <w:footnote w:id="398">
    <w:p>
      <w:pPr>
        <w:pStyle w:val="Notedebasdepage"/>
      </w:pPr>
      <w:r>
        <w:rPr>
          <w:rStyle w:val="Appelnotedebasdep"/>
        </w:rPr>
        <w:footnoteRef/>
        <w:t xml:space="preserve"> </w:t>
      </w:r>
      <w:r>
        <w:rPr/>
        <w:t xml:space="preserve">Matth., VII, 28 ; XIII, 54, Marc, I, 22 ; VI, 1 ; Luc, IV, 22, 32.</w:t>
      </w:r>
    </w:p>
  </w:footnote>
  <w:footnote w:id="399">
    <w:p>
      <w:pPr>
        <w:pStyle w:val="Notedebasdepage"/>
      </w:pPr>
      <w:r>
        <w:rPr>
          <w:rStyle w:val="Appelnotedebasdep"/>
        </w:rPr>
        <w:footnoteRef/>
        <w:t xml:space="preserve"> </w:t>
      </w:r>
      <w:r>
        <w:rPr/>
        <w:t xml:space="preserve">L’antique Kinnéreth avait disparu ou changé de nom.</w:t>
      </w:r>
    </w:p>
  </w:footnote>
  <w:footnote w:id="400">
    <w:p>
      <w:pPr>
        <w:pStyle w:val="Notedebasdepage"/>
      </w:pPr>
      <w:r>
        <w:rPr>
          <w:rStyle w:val="Appelnotedebasdep"/>
        </w:rPr>
        <w:footnoteRef/>
        <w:t xml:space="preserve"> </w:t>
      </w:r>
      <w:r>
        <w:rPr/>
        <w:t xml:space="preserve"> On sait en effet qu’elle était très voisine de Tibériade. Talmud de Jérusalem, </w:t>
      </w:r>
      <w:r>
        <w:rPr>
          <w:i/>
        </w:rPr>
        <w:t xml:space="preserve">Maasaroth</w:t>
      </w:r>
      <w:r>
        <w:rPr/>
        <w:t xml:space="preserve">, III, I ; </w:t>
      </w:r>
      <w:r>
        <w:rPr>
          <w:i/>
        </w:rPr>
        <w:t xml:space="preserve">Schebiit</w:t>
      </w:r>
      <w:r>
        <w:rPr/>
        <w:t xml:space="preserve">, IX, 1 ; </w:t>
      </w:r>
      <w:r>
        <w:rPr>
          <w:i/>
        </w:rPr>
        <w:t xml:space="preserve">Erubin.</w:t>
      </w:r>
      <w:r>
        <w:rPr/>
        <w:t xml:space="preserve">, vV7.</w:t>
      </w:r>
    </w:p>
  </w:footnote>
  <w:footnote w:id="401">
    <w:p>
      <w:pPr>
        <w:pStyle w:val="Notedebasdepage"/>
      </w:pPr>
      <w:r>
        <w:rPr>
          <w:rStyle w:val="Appelnotedebasdep"/>
        </w:rPr>
        <w:footnoteRef/>
        <w:t xml:space="preserve"> </w:t>
      </w:r>
      <w:r>
        <w:rPr/>
        <w:t xml:space="preserve">Marc, VIII, 10. Comp. Matth., XV, 39.</w:t>
      </w:r>
    </w:p>
  </w:footnote>
  <w:footnote w:id="402">
    <w:p>
      <w:pPr>
        <w:pStyle w:val="Notedebasdepage"/>
      </w:pPr>
      <w:r>
        <w:rPr>
          <w:rStyle w:val="Appelnotedebasdep"/>
        </w:rPr>
        <w:footnoteRef/>
        <w:t xml:space="preserve"> </w:t>
      </w:r>
      <w:r>
        <w:rPr/>
        <w:t xml:space="preserve"> À l’endroit nommé </w:t>
      </w:r>
      <w:r>
        <w:rPr>
          <w:i/>
        </w:rPr>
        <w:t xml:space="preserve">Khorazi</w:t>
      </w:r>
      <w:r>
        <w:rPr/>
        <w:t xml:space="preserve"> ou </w:t>
      </w:r>
      <w:r>
        <w:rPr>
          <w:i/>
        </w:rPr>
        <w:t xml:space="preserve">Bir-Kérazeh</w:t>
      </w:r>
      <w:r>
        <w:rPr/>
        <w:t xml:space="preserve">, au-dessus de Tell-Hum.</w:t>
      </w:r>
    </w:p>
  </w:footnote>
  <w:footnote w:id="403">
    <w:p>
      <w:pPr>
        <w:pStyle w:val="Notedebasdepage"/>
      </w:pPr>
      <w:r>
        <w:rPr>
          <w:rStyle w:val="Appelnotedebasdep"/>
        </w:rPr>
        <w:footnoteRef/>
        <w:t xml:space="preserve"> </w:t>
      </w:r>
      <w:r>
        <w:rPr/>
        <w:t xml:space="preserve"> L’ancienne hypothèse qui identifiait Tell-Hum avec Capharnahum, bien que fortement attaquée depuis quelques années, conserve encore de nombreux défenseurs. Le meilleur argument qu’on puisse faire valoir en sa faveur est le nom même de </w:t>
      </w:r>
      <w:r>
        <w:rPr>
          <w:i/>
        </w:rPr>
        <w:t xml:space="preserve">Tell-Hum, Tell</w:t>
      </w:r>
      <w:r>
        <w:rPr/>
        <w:t xml:space="preserve"> entrant dans le nom de beaucoup de villages et ayant pu remplacer </w:t>
      </w:r>
      <w:r>
        <w:rPr>
          <w:i/>
        </w:rPr>
        <w:t xml:space="preserve">Caphar</w:t>
      </w:r>
      <w:r>
        <w:rPr/>
        <w:t xml:space="preserve">. Impossible, d’un autre côté, de trouver près de Tell-Hum une fontaine répondant à ce que dit Josèphe </w:t>
      </w:r>
      <w:r>
        <w:rPr>
          <w:i/>
        </w:rPr>
        <w:t xml:space="preserve">(B. J</w:t>
      </w:r>
      <w:r>
        <w:rPr/>
        <w:t xml:space="preserve">., III, x, 8). Cette fontaine de Capharnahum semble bien être Aïn-Medawara ; mais Aïn-Medawara est à une demi-heure du lac, tandis que Capharnahum était une ville de pêcheurs sur le bord même de la mer (Matth., IV, 13 ; Jean, VI, 17). Les difficultés pour Bethsaïde sont plus grandes encore ; car l’hypothèse, assez généralement admise, de deux Bethsaïdes, l’une sur la rive occidentale, l’autre sur la rive orientale du lac, et à deux ou trois lieues l’une de l’autre, a quelque chose de singulier.</w:t>
      </w:r>
    </w:p>
  </w:footnote>
  <w:footnote w:id="404">
    <w:p>
      <w:pPr>
        <w:pStyle w:val="Notedebasdepage"/>
      </w:pPr>
      <w:r>
        <w:rPr>
          <w:rStyle w:val="Appelnotedebasdep"/>
        </w:rPr>
        <w:footnoteRef/>
        <w:t xml:space="preserve"> </w:t>
      </w:r>
      <w:r>
        <w:rPr/>
        <w:t xml:space="preserve"> B. J., III, x, 8.</w:t>
      </w:r>
    </w:p>
  </w:footnote>
  <w:footnote w:id="405">
    <w:p>
      <w:pPr>
        <w:pStyle w:val="Notedebasdepage"/>
      </w:pPr>
      <w:r>
        <w:rPr>
          <w:rStyle w:val="Appelnotedebasdep"/>
        </w:rPr>
        <w:footnoteRef/>
        <w:t xml:space="preserve"> </w:t>
      </w:r>
      <w:r>
        <w:rPr/>
        <w:t xml:space="preserve"> B. J., III, x, 7 ; Jacques de Vitri, dans le </w:t>
      </w:r>
      <w:r>
        <w:rPr>
          <w:i/>
        </w:rPr>
        <w:t xml:space="preserve">Gesta Dei per Francos</w:t>
      </w:r>
      <w:r>
        <w:rPr/>
        <w:t xml:space="preserve">, I, 1075.</w:t>
      </w:r>
    </w:p>
  </w:footnote>
  <w:footnote w:id="406">
    <w:p>
      <w:pPr>
        <w:pStyle w:val="Notedebasdepage"/>
      </w:pPr>
      <w:r>
        <w:rPr>
          <w:rStyle w:val="Appelnotedebasdep"/>
        </w:rPr>
        <w:footnoteRef/>
        <w:t xml:space="preserve"> </w:t>
      </w:r>
      <w:r>
        <w:rPr/>
        <w:t xml:space="preserve"> C’est l’évaluation du capitaine Lynch (dans Ritter, </w:t>
      </w:r>
      <w:r>
        <w:rPr>
          <w:i/>
        </w:rPr>
        <w:t xml:space="preserve">Erd-kunde</w:t>
      </w:r>
      <w:r>
        <w:rPr/>
        <w:t xml:space="preserve">, XV, 1</w:t>
      </w:r>
      <w:r>
        <w:rPr>
          <w:vertAlign w:val="superscript"/>
        </w:rPr>
        <w:t>re</w:t>
      </w:r>
      <w:r>
        <w:rPr/>
        <w:t xml:space="preserve"> part., p. XX). Elle concorde à peu près avec celle de M. de Bertou </w:t>
      </w:r>
      <w:r>
        <w:rPr>
          <w:i/>
        </w:rPr>
        <w:t xml:space="preserve">(Bulletin de la Soc. de géogr</w:t>
      </w:r>
      <w:r>
        <w:rPr/>
        <w:t xml:space="preserve">., 2</w:t>
      </w:r>
      <w:r>
        <w:rPr>
          <w:vertAlign w:val="superscript"/>
        </w:rPr>
        <w:t>e</w:t>
      </w:r>
      <w:r>
        <w:rPr/>
        <w:t xml:space="preserve"> série, XII, p. 146).</w:t>
      </w:r>
    </w:p>
  </w:footnote>
  <w:footnote w:id="407">
    <w:p>
      <w:pPr>
        <w:pStyle w:val="Notedebasdepage"/>
      </w:pPr>
      <w:r>
        <w:rPr>
          <w:rStyle w:val="Appelnotedebasdep"/>
        </w:rPr>
        <w:footnoteRef/>
        <w:t xml:space="preserve"> </w:t>
      </w:r>
      <w:r>
        <w:rPr/>
        <w:t xml:space="preserve">La dépression de la mer Morte est du double.</w:t>
      </w:r>
    </w:p>
  </w:footnote>
  <w:footnote w:id="408">
    <w:p>
      <w:pPr>
        <w:pStyle w:val="Notedebasdepage"/>
      </w:pPr>
      <w:r>
        <w:rPr>
          <w:rStyle w:val="Appelnotedebasdep"/>
        </w:rPr>
        <w:footnoteRef/>
        <w:t xml:space="preserve"> </w:t>
      </w:r>
      <w:r>
        <w:rPr/>
        <w:t xml:space="preserve"> B. J., III, x, 7 et 8.</w:t>
      </w:r>
    </w:p>
  </w:footnote>
  <w:footnote w:id="409">
    <w:p>
      <w:pPr>
        <w:pStyle w:val="Notedebasdepage"/>
      </w:pPr>
      <w:r>
        <w:rPr>
          <w:rStyle w:val="Appelnotedebasdep"/>
        </w:rPr>
        <w:footnoteRef/>
        <w:t xml:space="preserve"> </w:t>
      </w:r>
      <w:r>
        <w:rPr/>
        <w:t xml:space="preserve"> Jos., </w:t>
      </w:r>
      <w:r>
        <w:rPr>
          <w:i/>
        </w:rPr>
        <w:t xml:space="preserve">Ant.</w:t>
      </w:r>
      <w:r>
        <w:rPr/>
        <w:t xml:space="preserve">, XVIII, II, 3 ; </w:t>
      </w:r>
      <w:r>
        <w:rPr>
          <w:i/>
        </w:rPr>
        <w:t xml:space="preserve">Vita</w:t>
      </w:r>
      <w:r>
        <w:rPr/>
        <w:t xml:space="preserve">, 12, 13, 64.</w:t>
      </w:r>
    </w:p>
  </w:footnote>
  <w:footnote w:id="410">
    <w:p>
      <w:pPr>
        <w:pStyle w:val="Notedebasdepage"/>
      </w:pPr>
      <w:r>
        <w:rPr>
          <w:rStyle w:val="Appelnotedebasdep"/>
        </w:rPr>
        <w:footnoteRef/>
        <w:t xml:space="preserve"> </w:t>
      </w:r>
      <w:r>
        <w:rPr/>
        <w:t xml:space="preserve"> J’adopte l’opinion de M. Thomson (</w:t>
      </w:r>
      <w:r>
        <w:rPr>
          <w:i/>
        </w:rPr>
        <w:t xml:space="preserve">The Land and the Book</w:t>
      </w:r>
      <w:r>
        <w:rPr/>
        <w:t xml:space="preserve">, II, 34 et suiv.), d’après laquelle la Gergésa de Matthieu (VIII, 28), identique à la ville chananéenne de </w:t>
      </w:r>
      <w:r>
        <w:rPr>
          <w:i/>
        </w:rPr>
        <w:t xml:space="preserve">Girgasch</w:t>
      </w:r>
      <w:r>
        <w:rPr/>
        <w:t xml:space="preserve"> (</w:t>
      </w:r>
      <w:r>
        <w:rPr>
          <w:i/>
        </w:rPr>
        <w:t xml:space="preserve">Gen.</w:t>
      </w:r>
      <w:r>
        <w:rPr/>
        <w:t xml:space="preserve">, X, 16 ; XV, 21 ; </w:t>
      </w:r>
      <w:r>
        <w:rPr>
          <w:i/>
        </w:rPr>
        <w:t xml:space="preserve">Deut.</w:t>
      </w:r>
      <w:r>
        <w:rPr/>
        <w:t xml:space="preserve">, VII, 1 ; </w:t>
      </w:r>
      <w:r>
        <w:rPr>
          <w:i/>
        </w:rPr>
        <w:t xml:space="preserve">Josué</w:t>
      </w:r>
      <w:r>
        <w:rPr/>
        <w:t xml:space="preserve">, XXIV, 11), serait l’emplacement nommé maintenant </w:t>
      </w:r>
      <w:r>
        <w:rPr>
          <w:i/>
        </w:rPr>
        <w:t xml:space="preserve">Kersa</w:t>
      </w:r>
      <w:r>
        <w:rPr/>
        <w:t xml:space="preserve"> ou </w:t>
      </w:r>
      <w:r>
        <w:rPr>
          <w:i/>
        </w:rPr>
        <w:t xml:space="preserve">Gersa</w:t>
      </w:r>
      <w:r>
        <w:rPr/>
        <w:t xml:space="preserve">, sur la rive orientale, à peu près vis-à-vis de Magdala. Marc (V, 1) et Luc (VIII, 26) nomment </w:t>
      </w:r>
      <w:r>
        <w:rPr>
          <w:i/>
        </w:rPr>
        <w:t xml:space="preserve">Gadara</w:t>
      </w:r>
      <w:r>
        <w:rPr/>
        <w:t xml:space="preserve"> ou </w:t>
      </w:r>
      <w:r>
        <w:rPr>
          <w:i/>
        </w:rPr>
        <w:t xml:space="preserve">Gerasa</w:t>
      </w:r>
      <w:r>
        <w:rPr/>
        <w:t xml:space="preserve"> au lieu de </w:t>
      </w:r>
      <w:r>
        <w:rPr>
          <w:i/>
        </w:rPr>
        <w:t xml:space="preserve">Gergesa. Gerasa</w:t>
      </w:r>
      <w:r>
        <w:rPr/>
        <w:t xml:space="preserve"> est une leçon impossible, les évangélistes nous apprenant que la ville en question était près du lac et vis-à-vis de la Galilée. Quant à Gadare, aujourd’hui </w:t>
      </w:r>
      <w:r>
        <w:rPr>
          <w:i/>
        </w:rPr>
        <w:t xml:space="preserve">Om-Keis</w:t>
      </w:r>
      <w:r>
        <w:rPr/>
        <w:t xml:space="preserve">, à une heure et demie du lac et du Jourdain, les circonstances locales données par Marc et Luc n’y conviennent guère. On comprend d’ailleurs que </w:t>
      </w:r>
      <w:r>
        <w:rPr>
          <w:i/>
        </w:rPr>
        <w:t xml:space="preserve">Gergesa</w:t>
      </w:r>
      <w:r>
        <w:rPr/>
        <w:t xml:space="preserve"> soit devenue </w:t>
      </w:r>
      <w:r>
        <w:rPr>
          <w:i/>
        </w:rPr>
        <w:t xml:space="preserve">Gerasa</w:t>
      </w:r>
      <w:r>
        <w:rPr/>
        <w:t xml:space="preserve">, nom bien plus connu, et que les impossibilités topographiques qu’offrait cette dernière lecture aient fait adopter </w:t>
      </w:r>
      <w:r>
        <w:rPr>
          <w:i/>
        </w:rPr>
        <w:t xml:space="preserve">Gadara</w:t>
      </w:r>
      <w:r>
        <w:rPr/>
        <w:t xml:space="preserve">. Cf. Orig., </w:t>
      </w:r>
      <w:r>
        <w:rPr>
          <w:i/>
        </w:rPr>
        <w:t xml:space="preserve">Comment. in Joann.</w:t>
      </w:r>
      <w:r>
        <w:rPr/>
        <w:t xml:space="preserve">, VI, 24 ; X, 10 ; Eusèbe et saint Jérôme, </w:t>
      </w:r>
      <w:r>
        <w:rPr>
          <w:i/>
        </w:rPr>
        <w:t xml:space="preserve">De situ et nomin. loc. hebr.</w:t>
      </w:r>
      <w:r>
        <w:rPr/>
        <w:t xml:space="preserve">, aux mots[Greek : Gergesa, Gergasei].</w:t>
      </w:r>
    </w:p>
  </w:footnote>
  <w:footnote w:id="411">
    <w:p>
      <w:pPr>
        <w:pStyle w:val="Notedebasdepage"/>
      </w:pPr>
      <w:r>
        <w:rPr>
          <w:rStyle w:val="Appelnotedebasdep"/>
        </w:rPr>
        <w:footnoteRef/>
        <w:t xml:space="preserve"> </w:t>
      </w:r>
      <w:r>
        <w:rPr/>
        <w:t xml:space="preserve">Matth., XVI, 13 ; Marc, VIII, 27.</w:t>
      </w:r>
    </w:p>
  </w:footnote>
  <w:footnote w:id="412">
    <w:p>
      <w:pPr>
        <w:pStyle w:val="Notedebasdepage"/>
      </w:pPr>
      <w:r>
        <w:rPr>
          <w:rStyle w:val="Appelnotedebasdep"/>
        </w:rPr>
        <w:footnoteRef/>
        <w:t xml:space="preserve"> </w:t>
      </w:r>
      <w:r>
        <w:rPr/>
        <w:t xml:space="preserve">Matth., XV, 21 ; Marc, VII, 24, 31.</w:t>
      </w:r>
    </w:p>
  </w:footnote>
  <w:footnote w:id="413">
    <w:p>
      <w:pPr>
        <w:pStyle w:val="Notedebasdepage"/>
      </w:pPr>
      <w:r>
        <w:rPr>
          <w:rStyle w:val="Appelnotedebasdep"/>
        </w:rPr>
        <w:footnoteRef/>
        <w:t xml:space="preserve"> </w:t>
      </w:r>
      <w:r>
        <w:rPr/>
        <w:t xml:space="preserve"> Jos., </w:t>
      </w:r>
      <w:r>
        <w:rPr>
          <w:i/>
        </w:rPr>
        <w:t xml:space="preserve">Vita</w:t>
      </w:r>
      <w:r>
        <w:rPr/>
        <w:t xml:space="preserve">, 13.</w:t>
      </w:r>
    </w:p>
  </w:footnote>
  <w:footnote w:id="414">
    <w:p>
      <w:pPr>
        <w:pStyle w:val="Notedebasdepage"/>
      </w:pPr>
      <w:r>
        <w:rPr>
          <w:rStyle w:val="Appelnotedebasdep"/>
        </w:rPr>
        <w:footnoteRef/>
        <w:t xml:space="preserve"> </w:t>
      </w:r>
      <w:r>
        <w:rPr/>
        <w:t xml:space="preserve"> Jos., </w:t>
      </w:r>
      <w:r>
        <w:rPr>
          <w:i/>
        </w:rPr>
        <w:t xml:space="preserve">Ant.</w:t>
      </w:r>
      <w:r>
        <w:rPr/>
        <w:t xml:space="preserve">, XV, x, 3 ; </w:t>
      </w:r>
      <w:r>
        <w:rPr>
          <w:i/>
        </w:rPr>
        <w:t xml:space="preserve">B.J.</w:t>
      </w:r>
      <w:r>
        <w:rPr/>
        <w:t xml:space="preserve">, I, xxi, 3 ; III, x, 7 ; Benjamin de Tudèle, p. 46, édit. Asher.</w:t>
      </w:r>
    </w:p>
  </w:footnote>
  <w:footnote w:id="415">
    <w:p>
      <w:pPr>
        <w:pStyle w:val="Notedebasdepage"/>
      </w:pPr>
      <w:r>
        <w:rPr>
          <w:rStyle w:val="Appelnotedebasdep"/>
        </w:rPr>
        <w:footnoteRef/>
        <w:t xml:space="preserve"> </w:t>
      </w:r>
      <w:r>
        <w:rPr/>
        <w:t xml:space="preserve"> Jos., </w:t>
      </w:r>
      <w:r>
        <w:rPr>
          <w:i/>
        </w:rPr>
        <w:t xml:space="preserve">Ant.</w:t>
      </w:r>
      <w:r>
        <w:rPr/>
        <w:t xml:space="preserve">, XV, </w:t>
      </w:r>
      <w:r>
        <w:rPr/>
        <w:t xml:space="preserve">x</w:t>
      </w:r>
      <w:r>
        <w:rPr/>
        <w:t xml:space="preserve">, 3.</w:t>
      </w:r>
    </w:p>
  </w:footnote>
  <w:footnote w:id="416">
    <w:p>
      <w:pPr>
        <w:pStyle w:val="Notedebasdepage"/>
      </w:pPr>
      <w:r>
        <w:rPr>
          <w:rStyle w:val="Appelnotedebasdep"/>
        </w:rPr>
        <w:footnoteRef/>
        <w:t xml:space="preserve"> </w:t>
      </w:r>
      <w:r>
        <w:rPr>
          <w:i/>
        </w:rPr>
        <w:t xml:space="preserve">Corpus. inscr. gr.</w:t>
      </w:r>
      <w:r>
        <w:rPr/>
        <w:t xml:space="preserve">, n(os) 4537, 4538, 4538 </w:t>
      </w:r>
      <w:r>
        <w:rPr>
          <w:i/>
        </w:rPr>
        <w:t xml:space="preserve">b</w:t>
      </w:r>
      <w:r>
        <w:rPr/>
        <w:t xml:space="preserve">, 4539.</w:t>
      </w:r>
    </w:p>
  </w:footnote>
  <w:footnote w:id="417">
    <w:p>
      <w:pPr>
        <w:pStyle w:val="Notedebasdepage"/>
      </w:pPr>
      <w:r>
        <w:rPr>
          <w:rStyle w:val="Appelnotedebasdep"/>
        </w:rPr>
        <w:footnoteRef/>
        <w:t xml:space="preserve"> </w:t>
      </w:r>
      <w:r>
        <w:rPr/>
        <w:t xml:space="preserve"> Lucianus (ut fertur), </w:t>
      </w:r>
      <w:r>
        <w:rPr>
          <w:i/>
        </w:rPr>
        <w:t xml:space="preserve">De dea syria</w:t>
      </w:r>
      <w:r>
        <w:rPr/>
        <w:t xml:space="preserve">, 3.</w:t>
      </w:r>
    </w:p>
  </w:footnote>
  <w:footnote w:id="418">
    <w:p>
      <w:pPr>
        <w:pStyle w:val="Notedebasdepage"/>
      </w:pPr>
      <w:r>
        <w:rPr>
          <w:rStyle w:val="Appelnotedebasdep"/>
        </w:rPr>
        <w:footnoteRef/>
        <w:t xml:space="preserve"> </w:t>
      </w:r>
      <w:r>
        <w:rPr/>
        <w:t xml:space="preserve">Les traces de la riche civilisation païenne de ce temps couvrent encore tout le Beled-Bescharrah, et surtout les montagnes qui forment le massif du cap Blanc et du cap Nakoura.</w:t>
      </w:r>
    </w:p>
  </w:footnote>
  <w:footnote w:id="419">
    <w:p>
      <w:pPr>
        <w:pStyle w:val="Notedebasdepage"/>
      </w:pPr>
      <w:r>
        <w:rPr>
          <w:rStyle w:val="Appelnotedebasdep"/>
        </w:rPr>
        <w:footnoteRef/>
        <w:t xml:space="preserve"> </w:t>
      </w:r>
      <w:r>
        <w:rPr/>
        <w:t xml:space="preserve"> Matth., IV, 18 ; Luc, V, 44 et suiv. ; Jean, </w:t>
      </w:r>
      <w:r>
        <w:rPr/>
        <w:t xml:space="preserve">i</w:t>
      </w:r>
      <w:r>
        <w:rPr/>
        <w:t xml:space="preserve">, 44 ; XXI, 1 et suiv. ; Jos., </w:t>
      </w:r>
      <w:r>
        <w:rPr>
          <w:i/>
        </w:rPr>
        <w:t xml:space="preserve">B.J.</w:t>
      </w:r>
      <w:r>
        <w:rPr/>
        <w:t xml:space="preserve">, III, </w:t>
      </w:r>
      <w:r>
        <w:rPr/>
        <w:t xml:space="preserve">x</w:t>
      </w:r>
      <w:r>
        <w:rPr/>
        <w:t xml:space="preserve">, 7 ; Jacques de Vitri, dans le </w:t>
      </w:r>
      <w:r>
        <w:rPr>
          <w:i/>
        </w:rPr>
        <w:t xml:space="preserve">Gesta Dei per Francos</w:t>
      </w:r>
      <w:r>
        <w:rPr/>
        <w:t xml:space="preserve">, I, p. 1075.</w:t>
      </w:r>
    </w:p>
  </w:footnote>
  <w:footnote w:id="420">
    <w:p>
      <w:pPr>
        <w:pStyle w:val="Notedebasdepage"/>
      </w:pPr>
      <w:r>
        <w:rPr>
          <w:rStyle w:val="Appelnotedebasdep"/>
        </w:rPr>
        <w:footnoteRef/>
        <w:t xml:space="preserve"> </w:t>
      </w:r>
      <w:r>
        <w:rPr/>
        <w:t xml:space="preserve">Matth., IX, 1 ; Marc, II, 1-2.</w:t>
      </w:r>
    </w:p>
  </w:footnote>
  <w:footnote w:id="421">
    <w:p>
      <w:pPr>
        <w:pStyle w:val="Notedebasdepage"/>
      </w:pPr>
      <w:r>
        <w:rPr>
          <w:rStyle w:val="Appelnotedebasdep"/>
        </w:rPr>
        <w:footnoteRef/>
        <w:t xml:space="preserve"> </w:t>
      </w:r>
      <w:r>
        <w:rPr/>
        <w:t xml:space="preserve"> Jean, </w:t>
      </w:r>
      <w:r>
        <w:rPr/>
        <w:t xml:space="preserve">i</w:t>
      </w:r>
      <w:r>
        <w:rPr/>
        <w:t xml:space="preserve">, 44.</w:t>
      </w:r>
    </w:p>
  </w:footnote>
  <w:footnote w:id="422">
    <w:p>
      <w:pPr>
        <w:pStyle w:val="Notedebasdepage"/>
      </w:pPr>
      <w:r>
        <w:rPr>
          <w:rStyle w:val="Appelnotedebasdep"/>
        </w:rPr>
        <w:footnoteRef/>
        <w:t xml:space="preserve"> </w:t>
      </w:r>
      <w:r>
        <w:rPr/>
        <w:t xml:space="preserve"> Matth., VIII, 14 ; Marc, I, 30 ; Luc, IV, 38 ; </w:t>
      </w:r>
      <w:r>
        <w:rPr>
          <w:i/>
        </w:rPr>
        <w:t xml:space="preserve">1 Cor</w:t>
      </w:r>
      <w:r>
        <w:rPr/>
        <w:t xml:space="preserve">., IX, 5 ; 1 Petr., V, 13 ; Clém. Alex., </w:t>
      </w:r>
      <w:r>
        <w:rPr>
          <w:i/>
        </w:rPr>
        <w:t xml:space="preserve">Strom</w:t>
      </w:r>
      <w:r>
        <w:rPr/>
        <w:t xml:space="preserve">., III, 6 ; VII, 11 ; Pseudo-Clem., </w:t>
      </w:r>
      <w:r>
        <w:rPr>
          <w:i/>
        </w:rPr>
        <w:t xml:space="preserve">Recogn</w:t>
      </w:r>
      <w:r>
        <w:rPr/>
        <w:t xml:space="preserve">., VII, 25 ; Eusèbe, </w:t>
      </w:r>
      <w:r>
        <w:rPr>
          <w:i/>
        </w:rPr>
        <w:t xml:space="preserve">H. E.</w:t>
      </w:r>
      <w:r>
        <w:rPr/>
        <w:t xml:space="preserve">, III, 30.</w:t>
      </w:r>
    </w:p>
  </w:footnote>
  <w:footnote w:id="423">
    <w:p>
      <w:pPr>
        <w:pStyle w:val="Notedebasdepage"/>
      </w:pPr>
      <w:r>
        <w:rPr>
          <w:rStyle w:val="Appelnotedebasdep"/>
        </w:rPr>
        <w:footnoteRef/>
        <w:t xml:space="preserve"> </w:t>
      </w:r>
      <w:r>
        <w:rPr/>
        <w:t xml:space="preserve">Matth., VIII, 14 ; XVII, 24 ; Marc, I, 29-31 ; Luc, IV, 38.</w:t>
      </w:r>
    </w:p>
  </w:footnote>
  <w:footnote w:id="424">
    <w:p>
      <w:pPr>
        <w:pStyle w:val="Notedebasdepage"/>
      </w:pPr>
      <w:r>
        <w:rPr>
          <w:rStyle w:val="Appelnotedebasdep"/>
        </w:rPr>
        <w:footnoteRef/>
        <w:t xml:space="preserve"> </w:t>
      </w:r>
      <w:r>
        <w:rPr/>
        <w:t xml:space="preserve">Jean, I, 40 et suiv.</w:t>
      </w:r>
    </w:p>
  </w:footnote>
  <w:footnote w:id="425">
    <w:p>
      <w:pPr>
        <w:pStyle w:val="Notedebasdepage"/>
      </w:pPr>
      <w:r>
        <w:rPr>
          <w:rStyle w:val="Appelnotedebasdep"/>
        </w:rPr>
        <w:footnoteRef/>
        <w:t xml:space="preserve"> </w:t>
      </w:r>
      <w:r>
        <w:rPr/>
        <w:t xml:space="preserve">Matth., IV, 18 ; Marc, I, 16 ; Luc, V, 3 ; Jean, XXI, 3.</w:t>
      </w:r>
    </w:p>
  </w:footnote>
  <w:footnote w:id="426">
    <w:p>
      <w:pPr>
        <w:pStyle w:val="Notedebasdepage"/>
      </w:pPr>
      <w:r>
        <w:rPr>
          <w:rStyle w:val="Appelnotedebasdep"/>
        </w:rPr>
        <w:footnoteRef/>
        <w:t xml:space="preserve"> </w:t>
      </w:r>
      <w:r>
        <w:rPr/>
        <w:t xml:space="preserve">Matth., IV, 19 ; Marc, I, 17 ; Luc, V, 10.</w:t>
      </w:r>
    </w:p>
  </w:footnote>
  <w:footnote w:id="427">
    <w:p>
      <w:pPr>
        <w:pStyle w:val="Notedebasdepage"/>
      </w:pPr>
      <w:r>
        <w:rPr>
          <w:rStyle w:val="Appelnotedebasdep"/>
        </w:rPr>
        <w:footnoteRef/>
        <w:t xml:space="preserve"> </w:t>
      </w:r>
      <w:r>
        <w:rPr/>
        <w:t xml:space="preserve">Marc, I, 20 ; Luc, V, 10 ; VIII, 3 ; Jean, XIX, 27.</w:t>
      </w:r>
    </w:p>
  </w:footnote>
  <w:footnote w:id="428">
    <w:p>
      <w:pPr>
        <w:pStyle w:val="Notedebasdepage"/>
      </w:pPr>
      <w:r>
        <w:rPr>
          <w:rStyle w:val="Appelnotedebasdep"/>
        </w:rPr>
        <w:footnoteRef/>
        <w:t xml:space="preserve"> </w:t>
      </w:r>
      <w:r>
        <w:rPr/>
        <w:t xml:space="preserve">Matth., XXVII, 56 ; Marc, XV, 40 ; XVI, 1.</w:t>
      </w:r>
    </w:p>
  </w:footnote>
  <w:footnote w:id="429">
    <w:p>
      <w:pPr>
        <w:pStyle w:val="Notedebasdepage"/>
      </w:pPr>
      <w:r>
        <w:rPr>
          <w:rStyle w:val="Appelnotedebasdep"/>
        </w:rPr>
        <w:footnoteRef/>
        <w:t xml:space="preserve"> </w:t>
      </w:r>
      <w:r>
        <w:rPr/>
        <w:t xml:space="preserve">Matth., XXVII, 55-56 ; Marc, XV, 40-41 ; Luc, VIII, 2-3 ; XXIII, 49.</w:t>
      </w:r>
    </w:p>
  </w:footnote>
  <w:footnote w:id="430">
    <w:p>
      <w:pPr>
        <w:pStyle w:val="Notedebasdepage"/>
      </w:pPr>
      <w:r>
        <w:rPr>
          <w:rStyle w:val="Appelnotedebasdep"/>
        </w:rPr>
        <w:footnoteRef/>
        <w:t xml:space="preserve"> </w:t>
      </w:r>
      <w:r>
        <w:rPr/>
        <w:t xml:space="preserve"> Marc, XVI, 9 ; Luc, VIII, 2 ; Cf. </w:t>
      </w:r>
      <w:r>
        <w:rPr>
          <w:i/>
        </w:rPr>
        <w:t xml:space="preserve">Tobie</w:t>
      </w:r>
      <w:r>
        <w:rPr/>
        <w:t xml:space="preserve">, III, 8 ; VI, 14.</w:t>
      </w:r>
    </w:p>
  </w:footnote>
  <w:footnote w:id="431">
    <w:p>
      <w:pPr>
        <w:pStyle w:val="Notedebasdepage"/>
      </w:pPr>
      <w:r>
        <w:rPr>
          <w:rStyle w:val="Appelnotedebasdep"/>
        </w:rPr>
        <w:footnoteRef/>
        <w:t xml:space="preserve"> </w:t>
      </w:r>
      <w:r>
        <w:rPr/>
        <w:t xml:space="preserve">Luc, VIII, 3 ; XXIV, 10.</w:t>
      </w:r>
    </w:p>
  </w:footnote>
  <w:footnote w:id="432">
    <w:p>
      <w:pPr>
        <w:pStyle w:val="Notedebasdepage"/>
      </w:pPr>
      <w:r>
        <w:rPr>
          <w:rStyle w:val="Appelnotedebasdep"/>
        </w:rPr>
        <w:footnoteRef/>
        <w:t xml:space="preserve"> </w:t>
      </w:r>
      <w:r>
        <w:rPr/>
        <w:t xml:space="preserve">Luc, VIII, 3.</w:t>
      </w:r>
    </w:p>
  </w:footnote>
  <w:footnote w:id="433">
    <w:p>
      <w:pPr>
        <w:pStyle w:val="Notedebasdepage"/>
      </w:pPr>
      <w:r>
        <w:rPr>
          <w:rStyle w:val="Appelnotedebasdep"/>
        </w:rPr>
        <w:footnoteRef/>
        <w:t xml:space="preserve"> </w:t>
      </w:r>
      <w:r>
        <w:rPr/>
        <w:t xml:space="preserve"> Jean, I, 44 et suiv. ; XXI, 2. J’admets l’identification de Nathanaël et de l’apôtre qui figure dans les listes sous le nom de </w:t>
      </w:r>
      <w:r>
        <w:rPr>
          <w:i/>
        </w:rPr>
        <w:t xml:space="preserve">Bar-Tholomé</w:t>
      </w:r>
      <w:r>
        <w:rPr/>
        <w:t xml:space="preserve">.</w:t>
      </w:r>
    </w:p>
  </w:footnote>
  <w:footnote w:id="434">
    <w:p>
      <w:pPr>
        <w:pStyle w:val="Notedebasdepage"/>
      </w:pPr>
      <w:r>
        <w:rPr>
          <w:rStyle w:val="Appelnotedebasdep"/>
        </w:rPr>
        <w:footnoteRef/>
        <w:t xml:space="preserve"> </w:t>
      </w:r>
      <w:r>
        <w:rPr/>
        <w:t xml:space="preserve"> Papias, dans Eusèbe, </w:t>
      </w:r>
      <w:r>
        <w:rPr>
          <w:i/>
        </w:rPr>
        <w:t xml:space="preserve">Hist. eccl.</w:t>
      </w:r>
      <w:r>
        <w:rPr/>
        <w:t xml:space="preserve">, III, 39.</w:t>
      </w:r>
    </w:p>
  </w:footnote>
  <w:footnote w:id="435">
    <w:p>
      <w:pPr>
        <w:pStyle w:val="Notedebasdepage"/>
      </w:pPr>
      <w:r>
        <w:rPr>
          <w:rStyle w:val="Appelnotedebasdep"/>
        </w:rPr>
        <w:footnoteRef/>
        <w:t xml:space="preserve"> </w:t>
      </w:r>
      <w:r>
        <w:rPr/>
        <w:t xml:space="preserve">Ce second nom est la traduction grecque du premier.</w:t>
      </w:r>
    </w:p>
  </w:footnote>
  <w:footnote w:id="436">
    <w:p>
      <w:pPr>
        <w:pStyle w:val="Notedebasdepage"/>
      </w:pPr>
      <w:r>
        <w:rPr>
          <w:rStyle w:val="Appelnotedebasdep"/>
        </w:rPr>
        <w:footnoteRef/>
        <w:t xml:space="preserve"> </w:t>
      </w:r>
      <w:r>
        <w:rPr/>
        <w:t xml:space="preserve">Jean, XI, 16 ; XX, 24 et suiv.</w:t>
      </w:r>
    </w:p>
  </w:footnote>
  <w:footnote w:id="437">
    <w:p>
      <w:pPr>
        <w:pStyle w:val="Notedebasdepage"/>
      </w:pPr>
      <w:r>
        <w:rPr>
          <w:rStyle w:val="Appelnotedebasdep"/>
        </w:rPr>
        <w:footnoteRef/>
        <w:t xml:space="preserve"> </w:t>
      </w:r>
      <w:r>
        <w:rPr/>
        <w:t xml:space="preserve"> Matth., X, 4 ; Marc, III, 18 ; Luc, VI, 15 ; </w:t>
      </w:r>
      <w:r>
        <w:rPr>
          <w:i/>
        </w:rPr>
        <w:t xml:space="preserve">Act.</w:t>
      </w:r>
      <w:r>
        <w:rPr/>
        <w:t xml:space="preserve">, I, 13 ; Évangile des Ébionim, dans Épiphane, </w:t>
      </w:r>
      <w:r>
        <w:rPr>
          <w:i/>
        </w:rPr>
        <w:t xml:space="preserve">Adv. hær.</w:t>
      </w:r>
      <w:r>
        <w:rPr/>
        <w:t xml:space="preserve">, XXX, 13.</w:t>
      </w:r>
    </w:p>
  </w:footnote>
  <w:footnote w:id="438">
    <w:p>
      <w:pPr>
        <w:pStyle w:val="Notedebasdepage"/>
      </w:pPr>
      <w:r>
        <w:rPr>
          <w:rStyle w:val="Appelnotedebasdep"/>
        </w:rPr>
        <w:footnoteRef/>
        <w:t xml:space="preserve"> </w:t>
      </w:r>
      <w:r>
        <w:rPr/>
        <w:t xml:space="preserve"> Aujourd’hui </w:t>
      </w:r>
      <w:r>
        <w:rPr>
          <w:i/>
        </w:rPr>
        <w:t xml:space="preserve">Kuryétein</w:t>
      </w:r>
      <w:r>
        <w:rPr/>
        <w:t xml:space="preserve"> ou </w:t>
      </w:r>
      <w:r>
        <w:rPr>
          <w:i/>
        </w:rPr>
        <w:t xml:space="preserve">Kereitein</w:t>
      </w:r>
      <w:r>
        <w:rPr/>
        <w:t xml:space="preserve">.</w:t>
      </w:r>
    </w:p>
  </w:footnote>
  <w:footnote w:id="439">
    <w:p>
      <w:pPr>
        <w:pStyle w:val="Notedebasdepage"/>
      </w:pPr>
      <w:r>
        <w:rPr>
          <w:rStyle w:val="Appelnotedebasdep"/>
        </w:rPr>
        <w:footnoteRef/>
        <w:t xml:space="preserve"> </w:t>
      </w:r>
      <w:r>
        <w:rPr/>
        <w:t xml:space="preserve">La circonstance rapportée dans Jean, XIX, 25-27, semble supposer qu’à aucune époque de la vie publique de Jésus, ses propres frères ne se rapprochèrent de lui.</w:t>
      </w:r>
    </w:p>
  </w:footnote>
  <w:footnote w:id="440">
    <w:p>
      <w:pPr>
        <w:pStyle w:val="Notedebasdepage"/>
      </w:pPr>
      <w:r>
        <w:rPr>
          <w:rStyle w:val="Appelnotedebasdep"/>
        </w:rPr>
        <w:footnoteRef/>
        <w:t xml:space="preserve"> </w:t>
      </w:r>
      <w:r>
        <w:rPr/>
        <w:t xml:space="preserve">Matth., XXVII, 56 ; Marc, XV, 40 ; Jean, XIX, 25.</w:t>
      </w:r>
    </w:p>
  </w:footnote>
  <w:footnote w:id="441">
    <w:p>
      <w:pPr>
        <w:pStyle w:val="Notedebasdepage"/>
      </w:pPr>
      <w:r>
        <w:rPr>
          <w:rStyle w:val="Appelnotedebasdep"/>
        </w:rPr>
        <w:footnoteRef/>
        <w:t xml:space="preserve"> </w:t>
      </w:r>
      <w:r>
        <w:rPr>
          <w:i/>
        </w:rPr>
        <w:t xml:space="preserve">Act.</w:t>
      </w:r>
      <w:r>
        <w:rPr/>
        <w:t xml:space="preserve">, I, 14. Comp. Luc, I, 28 ; II, 35, impliquant déjà un grand respect pour Marie.</w:t>
      </w:r>
    </w:p>
  </w:footnote>
  <w:footnote w:id="442">
    <w:p>
      <w:pPr>
        <w:pStyle w:val="Notedebasdepage"/>
      </w:pPr>
      <w:r>
        <w:rPr>
          <w:rStyle w:val="Appelnotedebasdep"/>
        </w:rPr>
        <w:footnoteRef/>
        <w:t xml:space="preserve"> </w:t>
      </w:r>
      <w:r>
        <w:rPr/>
        <w:t xml:space="preserve">Jean, XIX, 25 et suiv.</w:t>
      </w:r>
    </w:p>
  </w:footnote>
  <w:footnote w:id="443">
    <w:p>
      <w:pPr>
        <w:pStyle w:val="Notedebasdepage"/>
      </w:pPr>
      <w:r>
        <w:rPr>
          <w:rStyle w:val="Appelnotedebasdep"/>
        </w:rPr>
        <w:footnoteRef/>
        <w:t xml:space="preserve"> </w:t>
      </w:r>
      <w:r>
        <w:rPr/>
        <w:t xml:space="preserve">V. ci-dessus, p. 24-25, note.</w:t>
      </w:r>
    </w:p>
  </w:footnote>
  <w:footnote w:id="444">
    <w:p>
      <w:pPr>
        <w:pStyle w:val="Notedebasdepage"/>
      </w:pPr>
      <w:r>
        <w:rPr>
          <w:rStyle w:val="Appelnotedebasdep"/>
        </w:rPr>
        <w:footnoteRef/>
        <w:t xml:space="preserve"> </w:t>
      </w:r>
      <w:r>
        <w:rPr/>
        <w:t xml:space="preserve"> Jules Africain, dans Eusèbe, </w:t>
      </w:r>
      <w:r>
        <w:rPr>
          <w:i/>
        </w:rPr>
        <w:t xml:space="preserve">H. E.</w:t>
      </w:r>
      <w:r>
        <w:rPr/>
        <w:t xml:space="preserve">, I, 7.</w:t>
      </w:r>
    </w:p>
  </w:footnote>
  <w:footnote w:id="445">
    <w:p>
      <w:pPr>
        <w:pStyle w:val="Notedebasdepage"/>
      </w:pPr>
      <w:r>
        <w:rPr>
          <w:rStyle w:val="Appelnotedebasdep"/>
        </w:rPr>
        <w:footnoteRef/>
        <w:t xml:space="preserve"> </w:t>
      </w:r>
      <w:r>
        <w:rPr/>
        <w:t xml:space="preserve">Marc, III, 17 ; IX, 37 et suiv. ; X, 35 et suiv. ; Luc, IX, 49 et suiv., 54 et suiv.</w:t>
      </w:r>
    </w:p>
  </w:footnote>
  <w:footnote w:id="446">
    <w:p>
      <w:pPr>
        <w:pStyle w:val="Notedebasdepage"/>
      </w:pPr>
      <w:r>
        <w:rPr>
          <w:rStyle w:val="Appelnotedebasdep"/>
        </w:rPr>
        <w:footnoteRef/>
        <w:t xml:space="preserve"> </w:t>
      </w:r>
      <w:r>
        <w:rPr/>
        <w:t xml:space="preserve">Jean, XIII, 23 ; XVIII, 15 et suiv. ; XIX, 26-27 ; XX, 2, 4 ; XXI, 7, 20 et suiv.</w:t>
      </w:r>
    </w:p>
  </w:footnote>
  <w:footnote w:id="447">
    <w:p>
      <w:pPr>
        <w:pStyle w:val="Notedebasdepage"/>
      </w:pPr>
      <w:r>
        <w:rPr>
          <w:rStyle w:val="Appelnotedebasdep"/>
        </w:rPr>
        <w:footnoteRef/>
        <w:t xml:space="preserve"> </w:t>
      </w:r>
      <w:r>
        <w:rPr/>
        <w:t xml:space="preserve"> Matth., XVII, 1 ; XXVI, 37 ; Marc, V, 37 ; IX, 2 ; XIII, 3 ; XIV, 33 ; Luc, IX, 28. L’idée que Jésus avait communiqué à ces trois disciples une gnose ou doctrine secrète fut de très bonne heure répandue. Il est singulier que Jean, dans son évangile, ne mentionne pas une fois Jacques, son frère.</w:t>
      </w:r>
    </w:p>
  </w:footnote>
  <w:footnote w:id="448">
    <w:p>
      <w:pPr>
        <w:pStyle w:val="Notedebasdepage"/>
      </w:pPr>
      <w:r>
        <w:rPr>
          <w:rStyle w:val="Appelnotedebasdep"/>
        </w:rPr>
        <w:footnoteRef/>
        <w:t xml:space="preserve"> </w:t>
      </w:r>
      <w:r>
        <w:rPr/>
        <w:t xml:space="preserve">Matth., IV, 18-22 ; Luc, V, 10 ; Jean, XXI, 2 et suiv.</w:t>
      </w:r>
    </w:p>
  </w:footnote>
  <w:footnote w:id="449">
    <w:p>
      <w:pPr>
        <w:pStyle w:val="Notedebasdepage"/>
      </w:pPr>
      <w:r>
        <w:rPr>
          <w:rStyle w:val="Appelnotedebasdep"/>
        </w:rPr>
        <w:footnoteRef/>
        <w:t xml:space="preserve"> </w:t>
      </w:r>
      <w:r>
        <w:rPr/>
        <w:t xml:space="preserve">Matth., XIV, 28 ; XVI, 22 ; Marc, VIII, 32 et suiv.</w:t>
      </w:r>
    </w:p>
  </w:footnote>
  <w:footnote w:id="450">
    <w:p>
      <w:pPr>
        <w:pStyle w:val="Notedebasdepage"/>
      </w:pPr>
      <w:r>
        <w:rPr>
          <w:rStyle w:val="Appelnotedebasdep"/>
        </w:rPr>
        <w:footnoteRef/>
        <w:t xml:space="preserve"> </w:t>
      </w:r>
      <w:r>
        <w:rPr/>
        <w:t xml:space="preserve"> Il paraît avoir vécu jusque vers l’an 100. Voir son évangile, XXI, 15-23, et les anciennes autorités recueillies par Eusèbe, </w:t>
      </w:r>
      <w:r>
        <w:rPr>
          <w:i/>
        </w:rPr>
        <w:t xml:space="preserve">H. E.</w:t>
      </w:r>
      <w:r>
        <w:rPr/>
        <w:t xml:space="preserve">, III, 20, 23.</w:t>
      </w:r>
    </w:p>
  </w:footnote>
  <w:footnote w:id="451">
    <w:p>
      <w:pPr>
        <w:pStyle w:val="Notedebasdepage"/>
      </w:pPr>
      <w:r>
        <w:rPr>
          <w:rStyle w:val="Appelnotedebasdep"/>
        </w:rPr>
        <w:footnoteRef/>
        <w:t xml:space="preserve"> </w:t>
      </w:r>
      <w:r>
        <w:rPr/>
        <w:t xml:space="preserve">Voir les épîtres qui lui sont attribuées, et qui sont sûrement du même auteur que le quatrième évangile.</w:t>
      </w:r>
    </w:p>
  </w:footnote>
  <w:footnote w:id="452">
    <w:p>
      <w:pPr>
        <w:pStyle w:val="Notedebasdepage"/>
      </w:pPr>
      <w:r>
        <w:rPr>
          <w:rStyle w:val="Appelnotedebasdep"/>
        </w:rPr>
        <w:footnoteRef/>
        <w:t xml:space="preserve"> </w:t>
      </w:r>
      <w:r>
        <w:rPr/>
        <w:t xml:space="preserve">Nous n’entendons pas toutefois décider si l’Apocalypse est de lui.</w:t>
      </w:r>
    </w:p>
  </w:footnote>
  <w:footnote w:id="453">
    <w:p>
      <w:pPr>
        <w:pStyle w:val="Notedebasdepage"/>
      </w:pPr>
      <w:r>
        <w:rPr>
          <w:rStyle w:val="Appelnotedebasdep"/>
        </w:rPr>
        <w:footnoteRef/>
        <w:t xml:space="preserve"> </w:t>
      </w:r>
      <w:r>
        <w:rPr/>
        <w:t xml:space="preserve"> La tradition commune me semble sur ce point suffisamment justifiée. Il est, du reste, évident que l’école de Jean retoucha son évangile après lui (voir tout le chap. XXI).</w:t>
      </w:r>
    </w:p>
  </w:footnote>
  <w:footnote w:id="454">
    <w:p>
      <w:pPr>
        <w:pStyle w:val="Notedebasdepage"/>
      </w:pPr>
      <w:r>
        <w:rPr>
          <w:rStyle w:val="Appelnotedebasdep"/>
        </w:rPr>
        <w:footnoteRef/>
        <w:t xml:space="preserve"> </w:t>
      </w:r>
      <w:r>
        <w:rPr/>
        <w:t xml:space="preserve">Matth., XVIII, 4 ; XX, 25-26 ; XXIII, 8-12 ; Marc, IX, 34 ; X, 42-46.</w:t>
      </w:r>
    </w:p>
  </w:footnote>
  <w:footnote w:id="455">
    <w:p>
      <w:pPr>
        <w:pStyle w:val="Notedebasdepage"/>
      </w:pPr>
      <w:r>
        <w:rPr>
          <w:rStyle w:val="Appelnotedebasdep"/>
        </w:rPr>
        <w:footnoteRef/>
        <w:t xml:space="preserve"> </w:t>
      </w:r>
      <w:r>
        <w:rPr/>
        <w:t xml:space="preserve">Luc, V, 3.</w:t>
      </w:r>
    </w:p>
  </w:footnote>
  <w:footnote w:id="456">
    <w:p>
      <w:pPr>
        <w:pStyle w:val="Notedebasdepage"/>
      </w:pPr>
      <w:r>
        <w:rPr>
          <w:rStyle w:val="Appelnotedebasdep"/>
        </w:rPr>
        <w:footnoteRef/>
        <w:t xml:space="preserve"> </w:t>
      </w:r>
      <w:r>
        <w:rPr/>
        <w:t xml:space="preserve">Matth., XVII, 23.</w:t>
      </w:r>
    </w:p>
  </w:footnote>
  <w:footnote w:id="457">
    <w:p>
      <w:pPr>
        <w:pStyle w:val="Notedebasdepage"/>
      </w:pPr>
      <w:r>
        <w:rPr>
          <w:rStyle w:val="Appelnotedebasdep"/>
        </w:rPr>
        <w:footnoteRef/>
        <w:t xml:space="preserve"> </w:t>
      </w:r>
      <w:r>
        <w:rPr/>
        <w:t xml:space="preserve">Matth., XVI, 16-17.</w:t>
      </w:r>
    </w:p>
  </w:footnote>
  <w:footnote w:id="458">
    <w:p>
      <w:pPr>
        <w:pStyle w:val="Notedebasdepage"/>
      </w:pPr>
      <w:r>
        <w:rPr>
          <w:rStyle w:val="Appelnotedebasdep"/>
        </w:rPr>
        <w:footnoteRef/>
        <w:t xml:space="preserve"> </w:t>
      </w:r>
      <w:r>
        <w:rPr/>
        <w:t xml:space="preserve">Jean, VI, 68-70.</w:t>
      </w:r>
    </w:p>
  </w:footnote>
  <w:footnote w:id="459">
    <w:p>
      <w:pPr>
        <w:pStyle w:val="Notedebasdepage"/>
      </w:pPr>
      <w:r>
        <w:rPr>
          <w:rStyle w:val="Appelnotedebasdep"/>
        </w:rPr>
        <w:footnoteRef/>
        <w:t xml:space="preserve"> </w:t>
      </w:r>
      <w:r>
        <w:rPr/>
        <w:t xml:space="preserve"> Matth., X, 2 ; Luc, XXII, 32 ; Jean. XXI, 15 et suiv. ; </w:t>
      </w:r>
      <w:r>
        <w:rPr>
          <w:i/>
        </w:rPr>
        <w:t xml:space="preserve">Act.</w:t>
      </w:r>
      <w:r>
        <w:rPr/>
        <w:t xml:space="preserve">,, </w:t>
      </w:r>
      <w:r>
        <w:rPr/>
        <w:t xml:space="preserve">i</w:t>
      </w:r>
      <w:r>
        <w:rPr/>
        <w:t xml:space="preserve">, II, V, etc. ; </w:t>
      </w:r>
      <w:r>
        <w:rPr>
          <w:i/>
        </w:rPr>
        <w:t xml:space="preserve">Gal.</w:t>
      </w:r>
      <w:r>
        <w:rPr/>
        <w:t xml:space="preserve">, </w:t>
      </w:r>
      <w:r>
        <w:rPr/>
        <w:t xml:space="preserve">i</w:t>
      </w:r>
      <w:r>
        <w:rPr/>
        <w:t xml:space="preserve">, 18 ; II, 7-8.</w:t>
      </w:r>
    </w:p>
  </w:footnote>
  <w:footnote w:id="460">
    <w:p>
      <w:pPr>
        <w:pStyle w:val="Notedebasdepage"/>
      </w:pPr>
      <w:r>
        <w:rPr>
          <w:rStyle w:val="Appelnotedebasdep"/>
        </w:rPr>
        <w:footnoteRef/>
        <w:t xml:space="preserve"> </w:t>
      </w:r>
      <w:r>
        <w:rPr/>
        <w:t xml:space="preserve"> Matth, XVI, 18 ; Jean, </w:t>
      </w:r>
      <w:r>
        <w:rPr/>
        <w:t xml:space="preserve">i</w:t>
      </w:r>
      <w:r>
        <w:rPr/>
        <w:t xml:space="preserve">, 42.</w:t>
      </w:r>
    </w:p>
  </w:footnote>
  <w:footnote w:id="461">
    <w:p>
      <w:pPr>
        <w:pStyle w:val="Notedebasdepage"/>
      </w:pPr>
      <w:r>
        <w:rPr>
          <w:rStyle w:val="Appelnotedebasdep"/>
        </w:rPr>
        <w:footnoteRef/>
        <w:t xml:space="preserve"> </w:t>
      </w:r>
      <w:r>
        <w:rPr/>
        <w:t xml:space="preserve"> Matth., XVI, 19. Ailleurs, il est vrai (Matth., XVIII, 18), le même pouvoir est accordé à tous les apôtres.</w:t>
      </w:r>
    </w:p>
  </w:footnote>
  <w:footnote w:id="462">
    <w:p>
      <w:pPr>
        <w:pStyle w:val="Notedebasdepage"/>
      </w:pPr>
      <w:r>
        <w:rPr>
          <w:rStyle w:val="Appelnotedebasdep"/>
        </w:rPr>
        <w:footnoteRef/>
        <w:t xml:space="preserve"> </w:t>
      </w:r>
      <w:r>
        <w:rPr/>
        <w:t xml:space="preserve">Matth., XVIII, 4 et suiv. ; Marc, IX, 33 ; Luc, IX, 46 ; XXII, 30.</w:t>
      </w:r>
    </w:p>
  </w:footnote>
  <w:footnote w:id="463">
    <w:p>
      <w:pPr>
        <w:pStyle w:val="Notedebasdepage"/>
      </w:pPr>
      <w:r>
        <w:rPr>
          <w:rStyle w:val="Appelnotedebasdep"/>
        </w:rPr>
        <w:footnoteRef/>
        <w:t xml:space="preserve"> </w:t>
      </w:r>
      <w:r>
        <w:rPr/>
        <w:t xml:space="preserve">Matth., XX, 20 et suiv. ; Marc, X, 33 et suiv.</w:t>
      </w:r>
    </w:p>
  </w:footnote>
  <w:footnote w:id="464">
    <w:p>
      <w:pPr>
        <w:pStyle w:val="Notedebasdepage"/>
      </w:pPr>
      <w:r>
        <w:rPr>
          <w:rStyle w:val="Appelnotedebasdep"/>
        </w:rPr>
        <w:footnoteRef/>
        <w:t xml:space="preserve"> </w:t>
      </w:r>
      <w:r>
        <w:rPr/>
        <w:t xml:space="preserve">Marc, X, 41.</w:t>
      </w:r>
    </w:p>
  </w:footnote>
  <w:footnote w:id="465">
    <w:p>
      <w:pPr>
        <w:pStyle w:val="Notedebasdepage"/>
      </w:pPr>
      <w:r>
        <w:rPr>
          <w:rStyle w:val="Appelnotedebasdep"/>
        </w:rPr>
        <w:footnoteRef/>
        <w:t xml:space="preserve"> </w:t>
      </w:r>
      <w:r>
        <w:rPr/>
        <w:t xml:space="preserve">Jean, XVIII, 15 et suiv. ; XIX, 26-27 ; XX, 2 et suiv. ; XXI, 7, 21. Comp. I, 35 et suiv., où le disciple innomé est probablement Jean.</w:t>
      </w:r>
    </w:p>
  </w:footnote>
  <w:footnote w:id="466">
    <w:p>
      <w:pPr>
        <w:pStyle w:val="Notedebasdepage"/>
      </w:pPr>
      <w:r>
        <w:rPr>
          <w:rStyle w:val="Appelnotedebasdep"/>
        </w:rPr>
        <w:footnoteRef/>
        <w:t xml:space="preserve"> </w:t>
      </w:r>
      <w:r>
        <w:rPr/>
        <w:t xml:space="preserve"> Matth., IX, 9 ; X, 3 ; Marc, II, 14 ; III, 18 ; Luc, V, 27 ; VI, 15 ; </w:t>
      </w:r>
      <w:r>
        <w:rPr>
          <w:i/>
        </w:rPr>
        <w:t xml:space="preserve">Act</w:t>
      </w:r>
      <w:r>
        <w:rPr/>
        <w:t xml:space="preserve">., i, 13. Évangile des Ébionim, dans Épiph., </w:t>
      </w:r>
      <w:r>
        <w:rPr>
          <w:i/>
        </w:rPr>
        <w:t xml:space="preserve">Adv. hær.</w:t>
      </w:r>
      <w:r>
        <w:rPr/>
        <w:t xml:space="preserve">, XXX, 13. Il faut supposer, quelque bizarre que cela puisse paraître, que ces deus noms ont été portés par le même personnage. Le récit </w:t>
      </w:r>
      <w:r>
        <w:rPr>
          <w:i/>
        </w:rPr>
        <w:t xml:space="preserve">Matth</w:t>
      </w:r>
      <w:r>
        <w:rPr/>
        <w:t xml:space="preserve">., IX, 9, conçu d’après le modèle ordinaire des légendes de vocations d’apôtre, a, il est vrai, quelque chose de vague, et n’a certainement pas été écrit par l’apôtre même dont il y est question. Mais il faut se rappeler que, dans l’évangile actuel de Matthieu, la seule partie qui soit de l’apôtre, ce sont les Discours de Jésus. Voir Papias, dans Eusèbe, </w:t>
      </w:r>
      <w:r>
        <w:rPr>
          <w:i/>
        </w:rPr>
        <w:t xml:space="preserve">Hist. eccl</w:t>
      </w:r>
      <w:r>
        <w:rPr/>
        <w:t xml:space="preserve">., III, 39.</w:t>
      </w:r>
    </w:p>
  </w:footnote>
  <w:footnote w:id="467">
    <w:p>
      <w:pPr>
        <w:pStyle w:val="Notedebasdepage"/>
      </w:pPr>
      <w:r>
        <w:rPr>
          <w:rStyle w:val="Appelnotedebasdep"/>
        </w:rPr>
        <w:footnoteRef/>
        <w:t xml:space="preserve"> </w:t>
      </w:r>
      <w:r>
        <w:rPr/>
        <w:t xml:space="preserve"> Cicéron, </w:t>
      </w:r>
      <w:r>
        <w:rPr>
          <w:i/>
        </w:rPr>
        <w:t xml:space="preserve">De provinc. consular</w:t>
      </w:r>
      <w:r>
        <w:rPr/>
        <w:t xml:space="preserve">., 5 ; </w:t>
      </w:r>
      <w:r>
        <w:rPr>
          <w:i/>
        </w:rPr>
        <w:t xml:space="preserve">Pro Plancio, 9</w:t>
      </w:r>
      <w:r>
        <w:rPr/>
        <w:t xml:space="preserve"> ; Tac., </w:t>
      </w:r>
      <w:r>
        <w:rPr>
          <w:i/>
        </w:rPr>
        <w:t xml:space="preserve">Ann.</w:t>
      </w:r>
      <w:r>
        <w:rPr/>
        <w:t xml:space="preserve"> IV, 6 ; Pline, </w:t>
      </w:r>
      <w:r>
        <w:rPr>
          <w:i/>
        </w:rPr>
        <w:t xml:space="preserve">Hist. nat</w:t>
      </w:r>
      <w:r>
        <w:rPr/>
        <w:t xml:space="preserve">., XII, 32 ; Appien, </w:t>
      </w:r>
      <w:r>
        <w:rPr>
          <w:i/>
        </w:rPr>
        <w:t xml:space="preserve">Bell. civ</w:t>
      </w:r>
      <w:r>
        <w:rPr/>
        <w:t xml:space="preserve">., II, 13.</w:t>
      </w:r>
    </w:p>
  </w:footnote>
  <w:footnote w:id="468">
    <w:p>
      <w:pPr>
        <w:pStyle w:val="Notedebasdepage"/>
      </w:pPr>
      <w:r>
        <w:rPr>
          <w:rStyle w:val="Appelnotedebasdep"/>
        </w:rPr>
        <w:footnoteRef/>
        <w:t xml:space="preserve"> </w:t>
      </w:r>
      <w:r>
        <w:rPr/>
        <w:t xml:space="preserve"> Elle est restée célèbre, jusqu’au temps des croisades, sous le nom de </w:t>
      </w:r>
      <w:r>
        <w:rPr>
          <w:i/>
        </w:rPr>
        <w:t xml:space="preserve">Via maris</w:t>
      </w:r>
      <w:r>
        <w:rPr/>
        <w:t xml:space="preserve">. Cf. Isaïe, IX, I ; Matth., IV, 13-18 ; Tobie, </w:t>
      </w:r>
      <w:r>
        <w:rPr/>
        <w:t xml:space="preserve">i</w:t>
      </w:r>
      <w:r>
        <w:rPr/>
        <w:t xml:space="preserve">. Je pense que le chemin taillé dans le roc, près d’Aïn-et-Tin, en faisait partie, et que la route se dirigeait de là vers le </w:t>
      </w:r>
      <w:r>
        <w:rPr>
          <w:i/>
        </w:rPr>
        <w:t xml:space="preserve">Pont des filles de Jacob</w:t>
      </w:r>
      <w:r>
        <w:rPr/>
        <w:t xml:space="preserve">, tout comme aujourd’hui. Une partie de la route d’Aïn-et-Tin à ce pont est de construction antique.</w:t>
      </w:r>
    </w:p>
  </w:footnote>
  <w:footnote w:id="469">
    <w:p>
      <w:pPr>
        <w:pStyle w:val="Notedebasdepage"/>
      </w:pPr>
      <w:r>
        <w:rPr>
          <w:rStyle w:val="Appelnotedebasdep"/>
        </w:rPr>
        <w:footnoteRef/>
        <w:t xml:space="preserve"> </w:t>
      </w:r>
      <w:r>
        <w:rPr/>
        <w:t xml:space="preserve">Matth. IX, 9 et suiv.</w:t>
      </w:r>
    </w:p>
  </w:footnote>
  <w:footnote w:id="470">
    <w:p>
      <w:pPr>
        <w:pStyle w:val="Notedebasdepage"/>
      </w:pPr>
      <w:r>
        <w:rPr>
          <w:rStyle w:val="Appelnotedebasdep"/>
        </w:rPr>
        <w:footnoteRef/>
        <w:t xml:space="preserve"> </w:t>
      </w:r>
      <w:r>
        <w:rPr/>
        <w:t xml:space="preserve"> Matth., V, 46-47 ; IX, 10, 11 ; xi, 49 ; XVIII, 17 ; XXI, 31-32 ; Marc, II, 15-16 ; Luc, V, 30 ; VII, 34 ; XV, 1 ; XVIII, 11 ; XIX, 7 ; Lucien, </w:t>
      </w:r>
      <w:r>
        <w:rPr>
          <w:i/>
        </w:rPr>
        <w:t xml:space="preserve">Necyomant</w:t>
      </w:r>
      <w:r>
        <w:rPr/>
        <w:t xml:space="preserve">., II ; Dio Chrysost., orat, IV, p. 85 ; orat. XIV, p. 269 (edit. Emperius) ; Mischna, </w:t>
      </w:r>
      <w:r>
        <w:rPr>
          <w:i/>
        </w:rPr>
        <w:t xml:space="preserve">Nedarim</w:t>
      </w:r>
      <w:r>
        <w:rPr/>
        <w:t xml:space="preserve">, III, 4.</w:t>
      </w:r>
    </w:p>
  </w:footnote>
  <w:footnote w:id="471">
    <w:p>
      <w:pPr>
        <w:pStyle w:val="Notedebasdepage"/>
      </w:pPr>
      <w:r>
        <w:rPr>
          <w:rStyle w:val="Appelnotedebasdep"/>
        </w:rPr>
        <w:footnoteRef/>
        <w:t xml:space="preserve"> </w:t>
      </w:r>
      <w:r>
        <w:rPr/>
        <w:t xml:space="preserve"> Mischna, </w:t>
      </w:r>
      <w:r>
        <w:rPr>
          <w:i/>
        </w:rPr>
        <w:t xml:space="preserve">Baba Kama</w:t>
      </w:r>
      <w:r>
        <w:rPr/>
        <w:t xml:space="preserve">, X, 1 ; Talmud de Jérusalem, </w:t>
      </w:r>
      <w:r>
        <w:rPr>
          <w:i/>
        </w:rPr>
        <w:t xml:space="preserve">Demai</w:t>
      </w:r>
      <w:r>
        <w:rPr/>
        <w:t xml:space="preserve">, II, 3 ; Talmud de Bab., </w:t>
      </w:r>
      <w:r>
        <w:rPr>
          <w:i/>
        </w:rPr>
        <w:t xml:space="preserve">Sanhédrin</w:t>
      </w:r>
      <w:r>
        <w:rPr/>
        <w:t xml:space="preserve">, 25 </w:t>
      </w:r>
      <w:r>
        <w:rPr>
          <w:i/>
        </w:rPr>
        <w:t xml:space="preserve">b</w:t>
      </w:r>
      <w:r>
        <w:rPr/>
        <w:t xml:space="preserve">.</w:t>
      </w:r>
    </w:p>
  </w:footnote>
  <w:footnote w:id="472">
    <w:p>
      <w:pPr>
        <w:pStyle w:val="Notedebasdepage"/>
      </w:pPr>
      <w:r>
        <w:rPr>
          <w:rStyle w:val="Appelnotedebasdep"/>
        </w:rPr>
        <w:footnoteRef/>
        <w:t xml:space="preserve"> </w:t>
      </w:r>
      <w:r>
        <w:rPr/>
        <w:t xml:space="preserve">Luc, V, 29 et suiv.</w:t>
      </w:r>
    </w:p>
  </w:footnote>
  <w:footnote w:id="473">
    <w:p>
      <w:pPr>
        <w:pStyle w:val="Notedebasdepage"/>
      </w:pPr>
      <w:r>
        <w:rPr>
          <w:rStyle w:val="Appelnotedebasdep"/>
        </w:rPr>
        <w:footnoteRef/>
        <w:t xml:space="preserve"> </w:t>
      </w:r>
      <w:r>
        <w:rPr/>
        <w:t xml:space="preserve"> Jean, </w:t>
      </w:r>
      <w:r>
        <w:rPr/>
        <w:t xml:space="preserve">i</w:t>
      </w:r>
      <w:r>
        <w:rPr/>
        <w:t xml:space="preserve">, 48 et suiv.</w:t>
      </w:r>
    </w:p>
  </w:footnote>
  <w:footnote w:id="474">
    <w:p>
      <w:pPr>
        <w:pStyle w:val="Notedebasdepage"/>
      </w:pPr>
      <w:r>
        <w:rPr>
          <w:rStyle w:val="Appelnotedebasdep"/>
        </w:rPr>
        <w:footnoteRef/>
        <w:t xml:space="preserve"> </w:t>
      </w:r>
      <w:r>
        <w:rPr/>
        <w:t xml:space="preserve"> Jean, </w:t>
      </w:r>
      <w:r>
        <w:rPr/>
        <w:t xml:space="preserve">i</w:t>
      </w:r>
      <w:r>
        <w:rPr/>
        <w:t xml:space="preserve">, 42.</w:t>
      </w:r>
    </w:p>
  </w:footnote>
  <w:footnote w:id="475">
    <w:p>
      <w:pPr>
        <w:pStyle w:val="Notedebasdepage"/>
      </w:pPr>
      <w:r>
        <w:rPr>
          <w:rStyle w:val="Appelnotedebasdep"/>
        </w:rPr>
        <w:footnoteRef/>
        <w:t xml:space="preserve"> </w:t>
      </w:r>
      <w:r>
        <w:rPr/>
        <w:t xml:space="preserve">Jean, IV, 17 et suiv.</w:t>
      </w:r>
    </w:p>
  </w:footnote>
  <w:footnote w:id="476">
    <w:p>
      <w:pPr>
        <w:pStyle w:val="Notedebasdepage"/>
      </w:pPr>
      <w:r>
        <w:rPr>
          <w:rStyle w:val="Appelnotedebasdep"/>
        </w:rPr>
        <w:footnoteRef/>
        <w:t xml:space="preserve"> </w:t>
      </w:r>
      <w:r>
        <w:rPr/>
        <w:t xml:space="preserve">Matth., XVII 3 ; Marc, IX, 3 ; Luc, IX, 30-31.</w:t>
      </w:r>
    </w:p>
  </w:footnote>
  <w:footnote w:id="477">
    <w:p>
      <w:pPr>
        <w:pStyle w:val="Notedebasdepage"/>
      </w:pPr>
      <w:r>
        <w:rPr>
          <w:rStyle w:val="Appelnotedebasdep"/>
        </w:rPr>
        <w:footnoteRef/>
        <w:t xml:space="preserve"> </w:t>
      </w:r>
      <w:r>
        <w:rPr/>
        <w:t xml:space="preserve"> Matth., IV, 11 ; Marc, </w:t>
      </w:r>
      <w:r>
        <w:rPr/>
        <w:t xml:space="preserve">i</w:t>
      </w:r>
      <w:r>
        <w:rPr/>
        <w:t xml:space="preserve">, 13.</w:t>
      </w:r>
    </w:p>
  </w:footnote>
  <w:footnote w:id="478">
    <w:p>
      <w:pPr>
        <w:pStyle w:val="Notedebasdepage"/>
      </w:pPr>
      <w:r>
        <w:rPr>
          <w:rStyle w:val="Appelnotedebasdep"/>
        </w:rPr>
        <w:footnoteRef/>
        <w:t xml:space="preserve"> </w:t>
      </w:r>
      <w:r>
        <w:rPr/>
        <w:t xml:space="preserve">Matth., XIV, 26 ; Marc, VI, 49 ; Luc, XXIV, 39 ; Jean, VI, 19.</w:t>
      </w:r>
    </w:p>
  </w:footnote>
  <w:footnote w:id="479">
    <w:p>
      <w:pPr>
        <w:pStyle w:val="Notedebasdepage"/>
      </w:pPr>
      <w:r>
        <w:rPr>
          <w:rStyle w:val="Appelnotedebasdep"/>
        </w:rPr>
        <w:footnoteRef/>
        <w:t xml:space="preserve"> </w:t>
      </w:r>
      <w:r>
        <w:rPr/>
        <w:t xml:space="preserve">Jean, I, 51.</w:t>
      </w:r>
    </w:p>
  </w:footnote>
  <w:footnote w:id="480">
    <w:p>
      <w:pPr>
        <w:pStyle w:val="Notedebasdepage"/>
      </w:pPr>
      <w:r>
        <w:rPr>
          <w:rStyle w:val="Appelnotedebasdep"/>
        </w:rPr>
        <w:footnoteRef/>
        <w:t xml:space="preserve"> </w:t>
      </w:r>
      <w:r>
        <w:rPr/>
        <w:t xml:space="preserve">Matth., XIII, 1-2 ; Marc, III, 9 ; IV, 1 ; Luc, V, 3.</w:t>
      </w:r>
    </w:p>
  </w:footnote>
  <w:footnote w:id="481">
    <w:p>
      <w:pPr>
        <w:pStyle w:val="Notedebasdepage"/>
      </w:pPr>
      <w:r>
        <w:rPr>
          <w:rStyle w:val="Appelnotedebasdep"/>
        </w:rPr>
        <w:footnoteRef/>
        <w:t xml:space="preserve"> </w:t>
      </w:r>
      <w:r>
        <w:rPr/>
        <w:t xml:space="preserve">Matth., V, 3-10 ; Luc, VI, 20-25.</w:t>
      </w:r>
    </w:p>
  </w:footnote>
  <w:footnote w:id="482">
    <w:p>
      <w:pPr>
        <w:pStyle w:val="Notedebasdepage"/>
      </w:pPr>
      <w:r>
        <w:rPr>
          <w:rStyle w:val="Appelnotedebasdep"/>
        </w:rPr>
        <w:footnoteRef/>
        <w:t xml:space="preserve"> </w:t>
      </w:r>
      <w:r>
        <w:rPr/>
        <w:t xml:space="preserve"> C’est ce qu’on appelait les [Greek : Logia kyriaka]. Papias, dans Eusèbe, </w:t>
      </w:r>
      <w:r>
        <w:rPr>
          <w:i/>
        </w:rPr>
        <w:t xml:space="preserve">H. E.</w:t>
      </w:r>
      <w:r>
        <w:rPr/>
        <w:t xml:space="preserve">, III, 39.</w:t>
      </w:r>
    </w:p>
  </w:footnote>
  <w:footnote w:id="483">
    <w:p>
      <w:pPr>
        <w:pStyle w:val="Notedebasdepage"/>
      </w:pPr>
      <w:r>
        <w:rPr>
          <w:rStyle w:val="Appelnotedebasdep"/>
        </w:rPr>
        <w:footnoteRef/>
        <w:t xml:space="preserve"> </w:t>
      </w:r>
      <w:r>
        <w:rPr/>
        <w:t xml:space="preserve"> L’apologue, tel que nous le trouvons </w:t>
      </w:r>
      <w:r>
        <w:rPr>
          <w:i/>
        </w:rPr>
        <w:t xml:space="preserve">Juges</w:t>
      </w:r>
      <w:r>
        <w:rPr/>
        <w:t xml:space="preserve">, IX, 8 et suiv., </w:t>
      </w:r>
      <w:r>
        <w:rPr>
          <w:i/>
        </w:rPr>
        <w:t xml:space="preserve">II Sam</w:t>
      </w:r>
      <w:r>
        <w:rPr/>
        <w:t xml:space="preserve">., XII, 4 et suiv., n’a qu’une ressemblance de forme avec la parabole évangélique. La profonde originalité de celle-ci est dans le sentiment qui la remplit.</w:t>
      </w:r>
    </w:p>
  </w:footnote>
  <w:footnote w:id="484">
    <w:p>
      <w:pPr>
        <w:pStyle w:val="Notedebasdepage"/>
      </w:pPr>
      <w:r>
        <w:rPr>
          <w:rStyle w:val="Appelnotedebasdep"/>
        </w:rPr>
        <w:footnoteRef/>
        <w:t xml:space="preserve"> </w:t>
      </w:r>
      <w:r>
        <w:rPr/>
        <w:t xml:space="preserve"> Voir surtout le </w:t>
      </w:r>
      <w:r>
        <w:rPr>
          <w:i/>
        </w:rPr>
        <w:t xml:space="preserve">Lotus de la bonne loi</w:t>
      </w:r>
      <w:r>
        <w:rPr/>
        <w:t xml:space="preserve">, ch. III et IV.</w:t>
      </w:r>
    </w:p>
  </w:footnote>
  <w:footnote w:id="485">
    <w:p>
      <w:pPr>
        <w:pStyle w:val="Notedebasdepage"/>
      </w:pPr>
      <w:r>
        <w:rPr>
          <w:rStyle w:val="Appelnotedebasdep"/>
        </w:rPr>
        <w:footnoteRef/>
        <w:t xml:space="preserve"> </w:t>
      </w:r>
      <w:r>
        <w:rPr/>
        <w:t xml:space="preserve"> Comparez Talm. de Bab., </w:t>
      </w:r>
      <w:r>
        <w:rPr>
          <w:i/>
        </w:rPr>
        <w:t xml:space="preserve">Baba Bathra</w:t>
      </w:r>
      <w:r>
        <w:rPr/>
        <w:t xml:space="preserve">, 11 </w:t>
      </w:r>
      <w:r>
        <w:rPr>
          <w:i/>
        </w:rPr>
        <w:t xml:space="preserve">a</w:t>
      </w:r>
      <w:r>
        <w:rPr/>
        <w:t xml:space="preserve">.</w:t>
      </w:r>
    </w:p>
  </w:footnote>
  <w:footnote w:id="486">
    <w:p>
      <w:pPr>
        <w:pStyle w:val="Notedebasdepage"/>
      </w:pPr>
      <w:r>
        <w:rPr>
          <w:rStyle w:val="Appelnotedebasdep"/>
        </w:rPr>
        <w:footnoteRef/>
        <w:t xml:space="preserve"> </w:t>
      </w:r>
      <w:r>
        <w:rPr/>
        <w:t xml:space="preserve">Dieu des richesses et des trésors cachés, sorte de Plutus dans la mythologie phénicienne et syrienne.</w:t>
      </w:r>
    </w:p>
  </w:footnote>
  <w:footnote w:id="487">
    <w:p>
      <w:pPr>
        <w:pStyle w:val="Notedebasdepage"/>
      </w:pPr>
      <w:r>
        <w:rPr>
          <w:rStyle w:val="Appelnotedebasdep"/>
        </w:rPr>
        <w:footnoteRef/>
        <w:t xml:space="preserve"> </w:t>
      </w:r>
      <w:r>
        <w:rPr/>
        <w:t xml:space="preserve">J’adopte ici la leçon de Lachmann et Tischendorf.</w:t>
      </w:r>
    </w:p>
  </w:footnote>
  <w:footnote w:id="488">
    <w:p>
      <w:pPr>
        <w:pStyle w:val="Notedebasdepage"/>
      </w:pPr>
      <w:r>
        <w:rPr>
          <w:rStyle w:val="Appelnotedebasdep"/>
        </w:rPr>
        <w:footnoteRef/>
        <w:t xml:space="preserve"> </w:t>
      </w:r>
      <w:r>
        <w:rPr/>
        <w:t xml:space="preserve"> Matth., VI, 19-21, 24-34. Luc, XII, 22-34, 33-34 ; XVI, 13. Comparez les préceptes </w:t>
      </w:r>
      <w:r>
        <w:rPr>
          <w:i/>
        </w:rPr>
        <w:t xml:space="preserve">Luc</w:t>
      </w:r>
      <w:r>
        <w:rPr/>
        <w:t xml:space="preserve">, X, 7-8, pleins du même sentiment naïf, et Talmud de Babylone, </w:t>
      </w:r>
      <w:r>
        <w:rPr>
          <w:i/>
        </w:rPr>
        <w:t xml:space="preserve">Sota</w:t>
      </w:r>
      <w:r>
        <w:rPr/>
        <w:t xml:space="preserve">, 48 </w:t>
      </w:r>
      <w:r>
        <w:rPr>
          <w:i/>
        </w:rPr>
        <w:t xml:space="preserve">b</w:t>
      </w:r>
      <w:r>
        <w:rPr/>
        <w:t xml:space="preserve">.</w:t>
      </w:r>
    </w:p>
  </w:footnote>
  <w:footnote w:id="489">
    <w:p>
      <w:pPr>
        <w:pStyle w:val="Notedebasdepage"/>
      </w:pPr>
      <w:r>
        <w:rPr>
          <w:rStyle w:val="Appelnotedebasdep"/>
        </w:rPr>
        <w:footnoteRef/>
        <w:t xml:space="preserve"> </w:t>
      </w:r>
      <w:r>
        <w:rPr/>
        <w:t xml:space="preserve">Matth., XIII, 22 ; Marc, IV, 19 ; Luc, VIII, 14.</w:t>
      </w:r>
    </w:p>
  </w:footnote>
  <w:footnote w:id="490">
    <w:p>
      <w:pPr>
        <w:pStyle w:val="Notedebasdepage"/>
      </w:pPr>
      <w:r>
        <w:rPr>
          <w:rStyle w:val="Appelnotedebasdep"/>
        </w:rPr>
        <w:footnoteRef/>
        <w:t xml:space="preserve"> </w:t>
      </w:r>
      <w:r>
        <w:rPr/>
        <w:t xml:space="preserve">Matth., VI, 11 ; Luc, xi, 3. C’est le sens du mot [Greek : epiousios].</w:t>
      </w:r>
    </w:p>
  </w:footnote>
  <w:footnote w:id="491">
    <w:p>
      <w:pPr>
        <w:pStyle w:val="Notedebasdepage"/>
      </w:pPr>
      <w:r>
        <w:rPr>
          <w:rStyle w:val="Appelnotedebasdep"/>
        </w:rPr>
        <w:footnoteRef/>
        <w:t xml:space="preserve"> </w:t>
      </w:r>
      <w:r>
        <w:rPr/>
        <w:t xml:space="preserve">Luc, XII, 33-34.</w:t>
      </w:r>
    </w:p>
  </w:footnote>
  <w:footnote w:id="492">
    <w:p>
      <w:pPr>
        <w:pStyle w:val="Notedebasdepage"/>
      </w:pPr>
      <w:r>
        <w:rPr>
          <w:rStyle w:val="Appelnotedebasdep"/>
        </w:rPr>
        <w:footnoteRef/>
        <w:t xml:space="preserve"> </w:t>
      </w:r>
      <w:r>
        <w:rPr/>
        <w:t xml:space="preserve">Luc, XII, 20.</w:t>
      </w:r>
    </w:p>
  </w:footnote>
  <w:footnote w:id="493">
    <w:p>
      <w:pPr>
        <w:pStyle w:val="Notedebasdepage"/>
      </w:pPr>
      <w:r>
        <w:rPr>
          <w:rStyle w:val="Appelnotedebasdep"/>
        </w:rPr>
        <w:footnoteRef/>
        <w:t xml:space="preserve"> </w:t>
      </w:r>
      <w:r>
        <w:rPr/>
        <w:t xml:space="preserve">Luc, XII, 16 et suiv.</w:t>
      </w:r>
    </w:p>
  </w:footnote>
  <w:footnote w:id="494">
    <w:p>
      <w:pPr>
        <w:pStyle w:val="Notedebasdepage"/>
      </w:pPr>
      <w:r>
        <w:rPr>
          <w:rStyle w:val="Appelnotedebasdep"/>
        </w:rPr>
        <w:footnoteRef/>
        <w:t xml:space="preserve"> </w:t>
      </w:r>
      <w:r>
        <w:rPr/>
        <w:t xml:space="preserve"> Jos, </w:t>
      </w:r>
      <w:r>
        <w:rPr>
          <w:i/>
        </w:rPr>
        <w:t xml:space="preserve">Ant</w:t>
      </w:r>
      <w:r>
        <w:rPr/>
        <w:t xml:space="preserve">., XVII, x, 4 et suiv. ; </w:t>
      </w:r>
      <w:r>
        <w:rPr>
          <w:i/>
        </w:rPr>
        <w:t xml:space="preserve">Vita</w:t>
      </w:r>
      <w:r>
        <w:rPr/>
        <w:t xml:space="preserve">, 11, etc.</w:t>
      </w:r>
    </w:p>
  </w:footnote>
  <w:footnote w:id="495">
    <w:p>
      <w:pPr>
        <w:pStyle w:val="Notedebasdepage"/>
      </w:pPr>
      <w:r>
        <w:rPr>
          <w:rStyle w:val="Appelnotedebasdep"/>
        </w:rPr>
        <w:footnoteRef/>
        <w:t xml:space="preserve"> </w:t>
      </w:r>
      <w:r>
        <w:rPr/>
        <w:t xml:space="preserve">Act., IV, 32, 34-37 ; V, 1 et suiv.</w:t>
      </w:r>
    </w:p>
  </w:footnote>
  <w:footnote w:id="496">
    <w:p>
      <w:pPr>
        <w:pStyle w:val="Notedebasdepage"/>
      </w:pPr>
      <w:r>
        <w:rPr>
          <w:rStyle w:val="Appelnotedebasdep"/>
        </w:rPr>
        <w:footnoteRef/>
        <w:t xml:space="preserve"> </w:t>
      </w:r>
      <w:r>
        <w:rPr/>
        <w:t xml:space="preserve">Matth., XIII, 22 ; Luc, XII, 15 et suiv.</w:t>
      </w:r>
    </w:p>
  </w:footnote>
  <w:footnote w:id="497">
    <w:p>
      <w:pPr>
        <w:pStyle w:val="Notedebasdepage"/>
      </w:pPr>
      <w:r>
        <w:rPr>
          <w:rStyle w:val="Appelnotedebasdep"/>
        </w:rPr>
        <w:footnoteRef/>
        <w:t xml:space="preserve"> </w:t>
      </w:r>
      <w:r>
        <w:rPr/>
        <w:t xml:space="preserve">Matth., XIX, 21 ; Marc, X, 21 et suiv., 29-30 ; Luc, XVIII, 22-23, 28.</w:t>
      </w:r>
    </w:p>
  </w:footnote>
  <w:footnote w:id="498">
    <w:p>
      <w:pPr>
        <w:pStyle w:val="Notedebasdepage"/>
      </w:pPr>
      <w:r>
        <w:rPr>
          <w:rStyle w:val="Appelnotedebasdep"/>
        </w:rPr>
        <w:footnoteRef/>
        <w:t xml:space="preserve"> </w:t>
      </w:r>
      <w:r>
        <w:rPr/>
        <w:t xml:space="preserve">Matth., XIII, 44-46.</w:t>
      </w:r>
    </w:p>
  </w:footnote>
  <w:footnote w:id="499">
    <w:p>
      <w:pPr>
        <w:pStyle w:val="Notedebasdepage"/>
      </w:pPr>
      <w:r>
        <w:rPr>
          <w:rStyle w:val="Appelnotedebasdep"/>
        </w:rPr>
        <w:footnoteRef/>
        <w:t xml:space="preserve"> </w:t>
      </w:r>
      <w:r>
        <w:rPr/>
        <w:t xml:space="preserve">Jean, XII, 6.</w:t>
      </w:r>
    </w:p>
  </w:footnote>
  <w:footnote w:id="500">
    <w:p>
      <w:pPr>
        <w:pStyle w:val="Notedebasdepage"/>
      </w:pPr>
      <w:r>
        <w:rPr>
          <w:rStyle w:val="Appelnotedebasdep"/>
        </w:rPr>
        <w:footnoteRef/>
        <w:t xml:space="preserve"> </w:t>
      </w:r>
      <w:r>
        <w:rPr/>
        <w:t xml:space="preserve">Luc, XVI, 1-14.</w:t>
      </w:r>
    </w:p>
  </w:footnote>
  <w:footnote w:id="501">
    <w:p>
      <w:pPr>
        <w:pStyle w:val="Notedebasdepage"/>
      </w:pPr>
      <w:r>
        <w:rPr>
          <w:rStyle w:val="Appelnotedebasdep"/>
        </w:rPr>
        <w:footnoteRef/>
        <w:t xml:space="preserve"> </w:t>
      </w:r>
      <w:r>
        <w:rPr/>
        <w:t xml:space="preserve">Voir le texte grec.</w:t>
      </w:r>
    </w:p>
  </w:footnote>
  <w:footnote w:id="502">
    <w:p>
      <w:pPr>
        <w:pStyle w:val="Notedebasdepage"/>
      </w:pPr>
      <w:r>
        <w:rPr>
          <w:rStyle w:val="Appelnotedebasdep"/>
        </w:rPr>
        <w:footnoteRef/>
        <w:t xml:space="preserve"> </w:t>
      </w:r>
      <w:r>
        <w:rPr/>
        <w:t xml:space="preserve"> Luc, XVI, 19-25. Luc, je le sais, a une tendance communiste très prononcée (comparez VI, 20-21, 23-26), et je pense qu’il a exagéré celle nuance de l’enseignement de Jésus. Mais les traits des [Greek : Logia] de Matthieu sont suffisamment significatifs.</w:t>
      </w:r>
    </w:p>
  </w:footnote>
  <w:footnote w:id="503">
    <w:p>
      <w:pPr>
        <w:pStyle w:val="Notedebasdepage"/>
      </w:pPr>
      <w:r>
        <w:rPr>
          <w:rStyle w:val="Appelnotedebasdep"/>
        </w:rPr>
        <w:footnoteRef/>
        <w:t xml:space="preserve"> </w:t>
      </w:r>
      <w:r>
        <w:rPr/>
        <w:t xml:space="preserve"> Matth., XIX, 24 ; Marc, X, 25 ; Luc, XVIII, 23. Cette locution proverbiale se retrouve dans le Talmud (Bab., </w:t>
      </w:r>
      <w:r>
        <w:rPr>
          <w:i/>
        </w:rPr>
        <w:t xml:space="preserve">Berakoth</w:t>
      </w:r>
      <w:r>
        <w:rPr/>
        <w:t xml:space="preserve">, 55 </w:t>
      </w:r>
      <w:r>
        <w:rPr>
          <w:i/>
        </w:rPr>
        <w:t xml:space="preserve">b, Baba metsia</w:t>
      </w:r>
      <w:r>
        <w:rPr/>
        <w:t xml:space="preserve">, 38 </w:t>
      </w:r>
      <w:r>
        <w:rPr>
          <w:i/>
        </w:rPr>
        <w:t xml:space="preserve">b</w:t>
      </w:r>
      <w:r>
        <w:rPr/>
        <w:t xml:space="preserve">) et dans le Coran (Sur., VII, 38). Origène et les interprètes grecs, ignorant le proverbe sémitique, ont cru qu’il s’agissait d’un câble [Greek : camilos]</w:t>
      </w:r>
    </w:p>
  </w:footnote>
  <w:footnote w:id="504">
    <w:p>
      <w:pPr>
        <w:pStyle w:val="Notedebasdepage"/>
      </w:pPr>
      <w:r>
        <w:rPr>
          <w:rStyle w:val="Appelnotedebasdep"/>
        </w:rPr>
        <w:footnoteRef/>
        <w:t xml:space="preserve"> </w:t>
      </w:r>
      <w:r>
        <w:rPr/>
        <w:t xml:space="preserve">Matth., XIII, 22.</w:t>
      </w:r>
    </w:p>
  </w:footnote>
  <w:footnote w:id="505">
    <w:p>
      <w:pPr>
        <w:pStyle w:val="Notedebasdepage"/>
      </w:pPr>
      <w:r>
        <w:rPr>
          <w:rStyle w:val="Appelnotedebasdep"/>
        </w:rPr>
        <w:footnoteRef/>
        <w:t xml:space="preserve"> </w:t>
      </w:r>
      <w:r>
        <w:rPr/>
        <w:t xml:space="preserve">Ps. CXXXIII, 3.</w:t>
      </w:r>
    </w:p>
  </w:footnote>
  <w:footnote w:id="506">
    <w:p>
      <w:pPr>
        <w:pStyle w:val="Notedebasdepage"/>
      </w:pPr>
      <w:r>
        <w:rPr>
          <w:rStyle w:val="Appelnotedebasdep"/>
        </w:rPr>
        <w:footnoteRef/>
        <w:t xml:space="preserve"> </w:t>
      </w:r>
      <w:r>
        <w:rPr/>
        <w:t xml:space="preserve">Matth., XXII, 2 et suiv. ; Luc, XIV, 16 et suiv. Comp. Matth.. VIII, 11-12 ; XXI, 33 et suiv.</w:t>
      </w:r>
    </w:p>
  </w:footnote>
  <w:footnote w:id="507">
    <w:p>
      <w:pPr>
        <w:pStyle w:val="Notedebasdepage"/>
      </w:pPr>
      <w:r>
        <w:rPr>
          <w:rStyle w:val="Appelnotedebasdep"/>
        </w:rPr>
        <w:footnoteRef/>
        <w:t xml:space="preserve"> </w:t>
      </w:r>
      <w:r>
        <w:rPr/>
        <w:t xml:space="preserve">Luc, VI, 24-25.</w:t>
      </w:r>
    </w:p>
  </w:footnote>
  <w:footnote w:id="508">
    <w:p>
      <w:pPr>
        <w:pStyle w:val="Notedebasdepage"/>
      </w:pPr>
      <w:r>
        <w:rPr>
          <w:rStyle w:val="Appelnotedebasdep"/>
        </w:rPr>
        <w:footnoteRef/>
        <w:t xml:space="preserve"> </w:t>
      </w:r>
      <w:r>
        <w:rPr/>
        <w:t xml:space="preserve">Luc, XIV, 12-14.</w:t>
      </w:r>
    </w:p>
  </w:footnote>
  <w:footnote w:id="509">
    <w:p>
      <w:pPr>
        <w:pStyle w:val="Notedebasdepage"/>
      </w:pPr>
      <w:r>
        <w:rPr>
          <w:rStyle w:val="Appelnotedebasdep"/>
        </w:rPr>
        <w:footnoteRef/>
        <w:t xml:space="preserve"> </w:t>
      </w:r>
      <w:r>
        <w:rPr/>
        <w:t xml:space="preserve"> Mot conservé par une tradition fort ancienne et fort suivie. Clément d’Alex., </w:t>
      </w:r>
      <w:r>
        <w:rPr>
          <w:i/>
        </w:rPr>
        <w:t xml:space="preserve">Strom</w:t>
      </w:r>
      <w:r>
        <w:rPr/>
        <w:t xml:space="preserve">., I, 28. On le retrouve dans Origène, dans saint Jérôme, et dans un grand nombre de Pères de l’Église.</w:t>
      </w:r>
    </w:p>
  </w:footnote>
  <w:footnote w:id="510">
    <w:p>
      <w:pPr>
        <w:pStyle w:val="Notedebasdepage"/>
      </w:pPr>
      <w:r>
        <w:rPr>
          <w:rStyle w:val="Appelnotedebasdep"/>
        </w:rPr>
        <w:footnoteRef/>
        <w:t xml:space="preserve"> </w:t>
      </w:r>
      <w:r>
        <w:rPr/>
        <w:t xml:space="preserve">Prov., XIX, 17.</w:t>
      </w:r>
    </w:p>
  </w:footnote>
  <w:footnote w:id="511">
    <w:p>
      <w:pPr>
        <w:pStyle w:val="Notedebasdepage"/>
      </w:pPr>
      <w:r>
        <w:rPr>
          <w:rStyle w:val="Appelnotedebasdep"/>
        </w:rPr>
        <w:footnoteRef/>
        <w:t xml:space="preserve"> </w:t>
      </w:r>
      <w:r>
        <w:rPr/>
        <w:t xml:space="preserve">Voir en particulier Amos, II, 6 ; Is., LXIII, 9 ; Ps. XXV, 9 ; XXXVII, 11 ; LXIX, 33, et en général les dictionnaires hébreux, aux mots : [Hebrew : ***].</w:t>
      </w:r>
    </w:p>
  </w:footnote>
  <w:footnote w:id="512">
    <w:p>
      <w:pPr>
        <w:pStyle w:val="Notedebasdepage"/>
      </w:pPr>
      <w:r>
        <w:rPr>
          <w:rStyle w:val="Appelnotedebasdep"/>
        </w:rPr>
        <w:footnoteRef/>
        <w:t xml:space="preserve"> </w:t>
      </w:r>
      <w:r>
        <w:rPr/>
        <w:t xml:space="preserve">Ch. LXII, LXIII, XCVII, C, CIV.</w:t>
      </w:r>
    </w:p>
  </w:footnote>
  <w:footnote w:id="513">
    <w:p>
      <w:pPr>
        <w:pStyle w:val="Notedebasdepage"/>
      </w:pPr>
      <w:r>
        <w:rPr>
          <w:rStyle w:val="Appelnotedebasdep"/>
        </w:rPr>
        <w:footnoteRef/>
        <w:t xml:space="preserve"> </w:t>
      </w:r>
    </w:p>
  </w:footnote>
  <w:footnote w:id="514">
    <w:p>
      <w:pPr>
        <w:pStyle w:val="Notedebasdepage"/>
      </w:pPr>
      <w:r>
        <w:rPr>
          <w:rStyle w:val="Appelnotedebasdep"/>
        </w:rPr>
        <w:footnoteRef/>
        <w:t xml:space="preserve"> </w:t>
      </w:r>
      <w:r>
        <w:rPr>
          <w:i/>
        </w:rPr>
        <w:t xml:space="preserve">Hénoch</w:t>
      </w:r>
      <w:r>
        <w:rPr/>
        <w:t xml:space="preserve">, XCIX, 13, 14.</w:t>
      </w:r>
    </w:p>
  </w:footnote>
  <w:footnote w:id="515">
    <w:p>
      <w:pPr>
        <w:pStyle w:val="Notedebasdepage"/>
      </w:pPr>
      <w:r>
        <w:rPr>
          <w:rStyle w:val="Appelnotedebasdep"/>
        </w:rPr>
        <w:footnoteRef/>
        <w:t xml:space="preserve"> </w:t>
      </w:r>
      <w:r>
        <w:rPr/>
        <w:t xml:space="preserve"> Jules Africain dans Eusèbe, </w:t>
      </w:r>
      <w:r>
        <w:rPr>
          <w:i/>
        </w:rPr>
        <w:t xml:space="preserve">H. E.</w:t>
      </w:r>
      <w:r>
        <w:rPr/>
        <w:t xml:space="preserve"> I, 7 ; Eus., </w:t>
      </w:r>
      <w:r>
        <w:rPr>
          <w:i/>
        </w:rPr>
        <w:t xml:space="preserve">De situ et nom. loc. hebr.</w:t>
      </w:r>
      <w:r>
        <w:rPr/>
        <w:t xml:space="preserve">, au mot [Greek : Chôba] ; Orig., </w:t>
      </w:r>
      <w:r>
        <w:rPr>
          <w:i/>
        </w:rPr>
        <w:t xml:space="preserve">Contre Celse</w:t>
      </w:r>
      <w:r>
        <w:rPr/>
        <w:t xml:space="preserve">, II, </w:t>
      </w:r>
      <w:r>
        <w:rPr/>
        <w:t xml:space="preserve">i</w:t>
      </w:r>
      <w:r>
        <w:rPr/>
        <w:t xml:space="preserve"> ; V, 61 ; Epiph., </w:t>
      </w:r>
      <w:r>
        <w:rPr>
          <w:i/>
        </w:rPr>
        <w:t xml:space="preserve">Adv. hær</w:t>
      </w:r>
      <w:r>
        <w:rPr/>
        <w:t xml:space="preserve">., XXIX, 7, 9 ; XXX, 2, 18.</w:t>
      </w:r>
    </w:p>
  </w:footnote>
  <w:footnote w:id="516">
    <w:p>
      <w:pPr>
        <w:pStyle w:val="Notedebasdepage"/>
      </w:pPr>
      <w:r>
        <w:rPr>
          <w:rStyle w:val="Appelnotedebasdep"/>
        </w:rPr>
        <w:footnoteRef/>
        <w:t xml:space="preserve"> </w:t>
      </w:r>
      <w:r>
        <w:rPr/>
        <w:t xml:space="preserve"> Voir surtout Origène, </w:t>
      </w:r>
      <w:r>
        <w:rPr>
          <w:i/>
        </w:rPr>
        <w:t xml:space="preserve">Contre Celse</w:t>
      </w:r>
      <w:r>
        <w:rPr/>
        <w:t xml:space="preserve">, II, </w:t>
      </w:r>
      <w:r>
        <w:rPr/>
        <w:t xml:space="preserve">i</w:t>
      </w:r>
      <w:r>
        <w:rPr/>
        <w:t xml:space="preserve"> ; </w:t>
      </w:r>
      <w:r>
        <w:rPr>
          <w:i/>
        </w:rPr>
        <w:t xml:space="preserve">De principiis</w:t>
      </w:r>
      <w:r>
        <w:rPr/>
        <w:t xml:space="preserve">, IV, 22. Comparez Épiph., </w:t>
      </w:r>
      <w:r>
        <w:rPr>
          <w:i/>
        </w:rPr>
        <w:t xml:space="preserve">Adv. hær</w:t>
      </w:r>
      <w:r>
        <w:rPr/>
        <w:t xml:space="preserve">., XXX, 17. Irénée, Origène, Eusèbe, les Constitutions apostoliques, ignorent l’existence d’un tel personnage. L’auteur des </w:t>
      </w:r>
      <w:r>
        <w:rPr>
          <w:i/>
        </w:rPr>
        <w:t xml:space="preserve">Philosophumena</w:t>
      </w:r>
      <w:r>
        <w:rPr/>
        <w:t xml:space="preserve"> semble hésiter (VII, 34 et 35 ; X, 22 et 23). C’est par Tertullien et surtout par Épiphane qu’a été répandue la fable d’un </w:t>
      </w:r>
      <w:r>
        <w:rPr>
          <w:i/>
        </w:rPr>
        <w:t xml:space="preserve">Ébion</w:t>
      </w:r>
      <w:r>
        <w:rPr/>
        <w:t xml:space="preserve">. Du reste, tous les Pères sont d’accord sur l’étymologie [Greek : Ebiôn] = [Greek : ptôgos].</w:t>
      </w:r>
    </w:p>
  </w:footnote>
  <w:footnote w:id="517">
    <w:p>
      <w:pPr>
        <w:pStyle w:val="Notedebasdepage"/>
      </w:pPr>
      <w:r>
        <w:rPr>
          <w:rStyle w:val="Appelnotedebasdep"/>
        </w:rPr>
        <w:footnoteRef/>
        <w:t xml:space="preserve"> </w:t>
      </w:r>
      <w:r>
        <w:rPr/>
        <w:t xml:space="preserve"> Épiph., </w:t>
      </w:r>
      <w:r>
        <w:rPr>
          <w:i/>
        </w:rPr>
        <w:t xml:space="preserve">Adv. hær.</w:t>
      </w:r>
      <w:r>
        <w:rPr/>
        <w:t xml:space="preserve">, XIX, XXIX et XXX, surtout XXIX, 9.</w:t>
      </w:r>
    </w:p>
  </w:footnote>
  <w:footnote w:id="518">
    <w:p>
      <w:pPr>
        <w:pStyle w:val="Notedebasdepage"/>
      </w:pPr>
      <w:r>
        <w:rPr>
          <w:rStyle w:val="Appelnotedebasdep"/>
        </w:rPr>
        <w:footnoteRef/>
        <w:t xml:space="preserve"> </w:t>
      </w:r>
      <w:r>
        <w:rPr/>
        <w:t xml:space="preserve"> Matth., </w:t>
      </w:r>
      <w:r>
        <w:rPr/>
        <w:t xml:space="preserve">xi</w:t>
      </w:r>
      <w:r>
        <w:rPr/>
        <w:t xml:space="preserve">, 5 ; Luc, VI, 20-21.</w:t>
      </w:r>
    </w:p>
  </w:footnote>
  <w:footnote w:id="519">
    <w:p>
      <w:pPr>
        <w:pStyle w:val="Notedebasdepage"/>
      </w:pPr>
      <w:r>
        <w:rPr>
          <w:rStyle w:val="Appelnotedebasdep"/>
        </w:rPr>
        <w:footnoteRef/>
        <w:t xml:space="preserve"> </w:t>
      </w:r>
      <w:r>
        <w:rPr/>
        <w:t xml:space="preserve">Matth., IX, 36 ; Marc, VI, 34.</w:t>
      </w:r>
    </w:p>
  </w:footnote>
  <w:footnote w:id="520">
    <w:p>
      <w:pPr>
        <w:pStyle w:val="Notedebasdepage"/>
      </w:pPr>
      <w:r>
        <w:rPr>
          <w:rStyle w:val="Appelnotedebasdep"/>
        </w:rPr>
        <w:footnoteRef/>
        <w:t xml:space="preserve"> </w:t>
      </w:r>
      <w:r>
        <w:rPr/>
        <w:t xml:space="preserve">Matth., IX, 10 et suiv. ; Luc, XV entier.</w:t>
      </w:r>
    </w:p>
  </w:footnote>
  <w:footnote w:id="521">
    <w:p>
      <w:pPr>
        <w:pStyle w:val="Notedebasdepage"/>
      </w:pPr>
      <w:r>
        <w:rPr>
          <w:rStyle w:val="Appelnotedebasdep"/>
        </w:rPr>
        <w:footnoteRef/>
        <w:t xml:space="preserve"> </w:t>
      </w:r>
      <w:r>
        <w:rPr/>
        <w:t xml:space="preserve">Matth., IX, 11 ; Marc, II, 16 ; Luc, V, 30.</w:t>
      </w:r>
    </w:p>
  </w:footnote>
  <w:footnote w:id="522">
    <w:p>
      <w:pPr>
        <w:pStyle w:val="Notedebasdepage"/>
      </w:pPr>
      <w:r>
        <w:rPr>
          <w:rStyle w:val="Appelnotedebasdep"/>
        </w:rPr>
        <w:footnoteRef/>
        <w:t xml:space="preserve"> </w:t>
      </w:r>
      <w:r>
        <w:rPr/>
        <w:t xml:space="preserve">Matth., IX, 12.</w:t>
      </w:r>
    </w:p>
  </w:footnote>
  <w:footnote w:id="523">
    <w:p>
      <w:pPr>
        <w:pStyle w:val="Notedebasdepage"/>
      </w:pPr>
      <w:r>
        <w:rPr>
          <w:rStyle w:val="Appelnotedebasdep"/>
        </w:rPr>
        <w:footnoteRef/>
        <w:t xml:space="preserve"> </w:t>
      </w:r>
      <w:r>
        <w:rPr/>
        <w:t xml:space="preserve">Luc, XV, 4 et suiv.</w:t>
      </w:r>
    </w:p>
  </w:footnote>
  <w:footnote w:id="524">
    <w:p>
      <w:pPr>
        <w:pStyle w:val="Notedebasdepage"/>
      </w:pPr>
      <w:r>
        <w:rPr>
          <w:rStyle w:val="Appelnotedebasdep"/>
        </w:rPr>
        <w:footnoteRef/>
        <w:t xml:space="preserve"> </w:t>
      </w:r>
      <w:r>
        <w:rPr/>
        <w:t xml:space="preserve">Matth., XVIII, 11 ; Luc, XIX, 10.</w:t>
      </w:r>
    </w:p>
  </w:footnote>
  <w:footnote w:id="525">
    <w:p>
      <w:pPr>
        <w:pStyle w:val="Notedebasdepage"/>
      </w:pPr>
      <w:r>
        <w:rPr>
          <w:rStyle w:val="Appelnotedebasdep"/>
        </w:rPr>
        <w:footnoteRef/>
        <w:t xml:space="preserve"> </w:t>
      </w:r>
      <w:r>
        <w:rPr/>
        <w:t xml:space="preserve">Matth., IX, 13.</w:t>
      </w:r>
    </w:p>
  </w:footnote>
  <w:footnote w:id="526">
    <w:p>
      <w:pPr>
        <w:pStyle w:val="Notedebasdepage"/>
      </w:pPr>
      <w:r>
        <w:rPr>
          <w:rStyle w:val="Appelnotedebasdep"/>
        </w:rPr>
        <w:footnoteRef/>
        <w:t xml:space="preserve"> </w:t>
      </w:r>
      <w:r>
        <w:rPr/>
        <w:t xml:space="preserve"> Luc, VII, 36 et suiv. Luc, qui aime à relever tout ce qui se rapporte au pardon des pécheurs (comp. X, 30 et suiv. ; XV entier ; XVII, 16 et suiv. ; XIX, 2 et suiv. ; XXIII, 39-43), a composé ce récit avec les traits d’une autre histoire, celle de l’onction des pieds, qui eut lieu à Béthanie quelques jours avant la mort de Jésus. Mais le pardon de la pécheresse était, sans contredit, un des traits essentiels de la vie anecdotique de Jésus. Cf. Jean, VIII, 3 et suiv. ; Papias, dans Eusèbe, </w:t>
      </w:r>
      <w:r>
        <w:rPr>
          <w:i/>
        </w:rPr>
        <w:t xml:space="preserve">Hist. eccl.</w:t>
      </w:r>
      <w:r>
        <w:rPr/>
        <w:t xml:space="preserve">, III, 39.</w:t>
      </w:r>
    </w:p>
  </w:footnote>
  <w:footnote w:id="527">
    <w:p>
      <w:pPr>
        <w:pStyle w:val="Notedebasdepage"/>
      </w:pPr>
      <w:r>
        <w:rPr>
          <w:rStyle w:val="Appelnotedebasdep"/>
        </w:rPr>
        <w:footnoteRef/>
        <w:t xml:space="preserve"> </w:t>
      </w:r>
      <w:r>
        <w:rPr/>
        <w:t xml:space="preserve">Luc, XIX ; 2 et suiv.</w:t>
      </w:r>
    </w:p>
  </w:footnote>
  <w:footnote w:id="528">
    <w:p>
      <w:pPr>
        <w:pStyle w:val="Notedebasdepage"/>
      </w:pPr>
      <w:r>
        <w:rPr>
          <w:rStyle w:val="Appelnotedebasdep"/>
        </w:rPr>
        <w:footnoteRef/>
        <w:t xml:space="preserve"> </w:t>
      </w:r>
      <w:r>
        <w:rPr/>
        <w:t xml:space="preserve">Matth., XXI, 31-32.</w:t>
      </w:r>
    </w:p>
  </w:footnote>
  <w:footnote w:id="529">
    <w:p>
      <w:pPr>
        <w:pStyle w:val="Notedebasdepage"/>
      </w:pPr>
      <w:r>
        <w:rPr>
          <w:rStyle w:val="Appelnotedebasdep"/>
        </w:rPr>
        <w:footnoteRef/>
        <w:t xml:space="preserve"> </w:t>
      </w:r>
      <w:r>
        <w:rPr/>
        <w:t xml:space="preserve">Matth., XXV, 1 et suiv.</w:t>
      </w:r>
    </w:p>
  </w:footnote>
  <w:footnote w:id="530">
    <w:p>
      <w:pPr>
        <w:pStyle w:val="Notedebasdepage"/>
      </w:pPr>
      <w:r>
        <w:rPr>
          <w:rStyle w:val="Appelnotedebasdep"/>
        </w:rPr>
        <w:footnoteRef/>
        <w:t xml:space="preserve"> </w:t>
      </w:r>
      <w:r>
        <w:rPr/>
        <w:t xml:space="preserve">Marc, II, 48 ; Luc, V, 33.</w:t>
      </w:r>
    </w:p>
  </w:footnote>
  <w:footnote w:id="531">
    <w:p>
      <w:pPr>
        <w:pStyle w:val="Notedebasdepage"/>
      </w:pPr>
      <w:r>
        <w:rPr>
          <w:rStyle w:val="Appelnotedebasdep"/>
        </w:rPr>
        <w:footnoteRef/>
        <w:t xml:space="preserve"> </w:t>
      </w:r>
      <w:r>
        <w:rPr/>
        <w:t xml:space="preserve">Matth., IX, 14 et suiv. ; Marc, II, 18 et suiv. ; Luc, V, 33 et suiv.</w:t>
      </w:r>
    </w:p>
  </w:footnote>
  <w:footnote w:id="532">
    <w:p>
      <w:pPr>
        <w:pStyle w:val="Notedebasdepage"/>
      </w:pPr>
      <w:r>
        <w:rPr>
          <w:rStyle w:val="Appelnotedebasdep"/>
        </w:rPr>
        <w:footnoteRef/>
        <w:t xml:space="preserve"> </w:t>
      </w:r>
      <w:r>
        <w:rPr/>
        <w:t xml:space="preserve">Allusion à quelque jeu d’enfant.</w:t>
      </w:r>
    </w:p>
  </w:footnote>
  <w:footnote w:id="533">
    <w:p>
      <w:pPr>
        <w:pStyle w:val="Notedebasdepage"/>
      </w:pPr>
      <w:r>
        <w:rPr>
          <w:rStyle w:val="Appelnotedebasdep"/>
        </w:rPr>
        <w:footnoteRef/>
        <w:t xml:space="preserve"> </w:t>
      </w:r>
      <w:r>
        <w:rPr/>
        <w:t xml:space="preserve">Matth., XI, 16 et suiv. ; Luc, VII, 34 et suiv. Proverbe qui veut dire : « L’opinion des hommes est aveugle. La sagesse des œuvres de Dieu n’est proclamée que par ses œuvres elles-mêmes. » Je lis [Greek : ergôn], avec le manuscrit B du Vatican, et non [Greek : teknôn].</w:t>
      </w:r>
    </w:p>
  </w:footnote>
  <w:footnote w:id="534">
    <w:p>
      <w:pPr>
        <w:pStyle w:val="Notedebasdepage"/>
      </w:pPr>
      <w:r>
        <w:rPr>
          <w:rStyle w:val="Appelnotedebasdep"/>
        </w:rPr>
        <w:footnoteRef/>
        <w:t xml:space="preserve"> </w:t>
      </w:r>
      <w:r>
        <w:rPr/>
        <w:t xml:space="preserve">Matth., XXI, 7-8.</w:t>
      </w:r>
    </w:p>
  </w:footnote>
  <w:footnote w:id="535">
    <w:p>
      <w:pPr>
        <w:pStyle w:val="Notedebasdepage"/>
      </w:pPr>
      <w:r>
        <w:rPr>
          <w:rStyle w:val="Appelnotedebasdep"/>
        </w:rPr>
        <w:footnoteRef/>
        <w:t xml:space="preserve"> </w:t>
      </w:r>
      <w:r>
        <w:rPr/>
        <w:t xml:space="preserve">Matth., XIX, 13 et suiv. ; Marc, IX, 35 ; X, 13 et suiv. ; Luc, XVIII, 15-16.</w:t>
      </w:r>
    </w:p>
  </w:footnote>
  <w:footnote w:id="536">
    <w:p>
      <w:pPr>
        <w:pStyle w:val="Notedebasdepage"/>
      </w:pPr>
      <w:r>
        <w:rPr>
          <w:rStyle w:val="Appelnotedebasdep"/>
        </w:rPr>
        <w:footnoteRef/>
        <w:t xml:space="preserve"> </w:t>
      </w:r>
      <w:r>
        <w:rPr>
          <w:i/>
        </w:rPr>
        <w:t xml:space="preserve">Ibid.</w:t>
      </w:r>
    </w:p>
  </w:footnote>
  <w:footnote w:id="537">
    <w:p>
      <w:pPr>
        <w:pStyle w:val="Notedebasdepage"/>
      </w:pPr>
      <w:r>
        <w:rPr>
          <w:rStyle w:val="Appelnotedebasdep"/>
        </w:rPr>
        <w:footnoteRef/>
        <w:t xml:space="preserve"> </w:t>
      </w:r>
      <w:r>
        <w:rPr/>
        <w:t xml:space="preserve">Matth., XXVI, 7 et suiv. ; Marc, XIV, 3 et suiv. ; Luc, VII, 37 et suiv.</w:t>
      </w:r>
    </w:p>
  </w:footnote>
  <w:footnote w:id="538">
    <w:p>
      <w:pPr>
        <w:pStyle w:val="Notedebasdepage"/>
      </w:pPr>
      <w:r>
        <w:rPr>
          <w:rStyle w:val="Appelnotedebasdep"/>
        </w:rPr>
        <w:footnoteRef/>
        <w:t xml:space="preserve"> </w:t>
      </w:r>
      <w:r>
        <w:rPr/>
        <w:t xml:space="preserve"> Évangile de Marcion, addition au </w:t>
      </w:r>
      <w:r>
        <w:rPr/>
        <w:t xml:space="preserve">v</w:t>
      </w:r>
      <w:r>
        <w:rPr/>
        <w:t xml:space="preserve">. 2 du ch. XXIII de Luc (Épiph., </w:t>
      </w:r>
      <w:r>
        <w:rPr>
          <w:i/>
        </w:rPr>
        <w:t xml:space="preserve">Adv. hær</w:t>
      </w:r>
      <w:r>
        <w:rPr/>
        <w:t xml:space="preserve">., XLII, 11). Si les retranchements de Marcion sont sans valeur critique, il n’en est pas de même de ses additions quand elles peuvent provenir, non d’un parti pris, mais de l’état des manuscrits dont il se servait.</w:t>
      </w:r>
    </w:p>
  </w:footnote>
  <w:footnote w:id="539">
    <w:p>
      <w:pPr>
        <w:pStyle w:val="Notedebasdepage"/>
      </w:pPr>
      <w:r>
        <w:rPr>
          <w:rStyle w:val="Appelnotedebasdep"/>
        </w:rPr>
        <w:footnoteRef/>
        <w:t xml:space="preserve"> </w:t>
      </w:r>
      <w:r>
        <w:rPr/>
        <w:t xml:space="preserve"> Cri qu’on poussait à la procession de la fête des Tabernacles, en agitant les palmes. Misclma, </w:t>
      </w:r>
      <w:r>
        <w:rPr>
          <w:i/>
        </w:rPr>
        <w:t xml:space="preserve">Sukka</w:t>
      </w:r>
      <w:r>
        <w:rPr/>
        <w:t xml:space="preserve">, III, 9. Cet usage existe encore chez les Israélites.</w:t>
      </w:r>
    </w:p>
  </w:footnote>
  <w:footnote w:id="540">
    <w:p>
      <w:pPr>
        <w:pStyle w:val="Notedebasdepage"/>
      </w:pPr>
      <w:r>
        <w:rPr>
          <w:rStyle w:val="Appelnotedebasdep"/>
        </w:rPr>
        <w:footnoteRef/>
        <w:t xml:space="preserve"> </w:t>
      </w:r>
      <w:r>
        <w:rPr/>
        <w:t xml:space="preserve">Matth., XXI, 15-16.</w:t>
      </w:r>
    </w:p>
  </w:footnote>
  <w:footnote w:id="541">
    <w:p>
      <w:pPr>
        <w:pStyle w:val="Notedebasdepage"/>
      </w:pPr>
      <w:r>
        <w:rPr>
          <w:rStyle w:val="Appelnotedebasdep"/>
        </w:rPr>
        <w:footnoteRef/>
        <w:t xml:space="preserve"> </w:t>
      </w:r>
      <w:r>
        <w:rPr/>
        <w:t xml:space="preserve">Matth., XVIII, 5, 40, 14 ; Luc, XVII, 2.</w:t>
      </w:r>
    </w:p>
  </w:footnote>
  <w:footnote w:id="542">
    <w:p>
      <w:pPr>
        <w:pStyle w:val="Notedebasdepage"/>
      </w:pPr>
      <w:r>
        <w:rPr>
          <w:rStyle w:val="Appelnotedebasdep"/>
        </w:rPr>
        <w:footnoteRef/>
        <w:t xml:space="preserve"> </w:t>
      </w:r>
      <w:r>
        <w:rPr/>
        <w:t xml:space="preserve">Matth., XIX, 14 ; Marc, X, 14 ; Luc, XVIII, 16.</w:t>
      </w:r>
    </w:p>
  </w:footnote>
  <w:footnote w:id="543">
    <w:p>
      <w:pPr>
        <w:pStyle w:val="Notedebasdepage"/>
      </w:pPr>
      <w:r>
        <w:rPr>
          <w:rStyle w:val="Appelnotedebasdep"/>
        </w:rPr>
        <w:footnoteRef/>
        <w:t xml:space="preserve"> </w:t>
      </w:r>
      <w:r>
        <w:rPr/>
        <w:t xml:space="preserve">Matth., XVIII, 4 et suiv. ; Marc, IX, 33 et suiv. ; Luc, IX, 40.</w:t>
      </w:r>
    </w:p>
  </w:footnote>
  <w:footnote w:id="544">
    <w:p>
      <w:pPr>
        <w:pStyle w:val="Notedebasdepage"/>
      </w:pPr>
      <w:r>
        <w:rPr>
          <w:rStyle w:val="Appelnotedebasdep"/>
        </w:rPr>
        <w:footnoteRef/>
        <w:t xml:space="preserve"> </w:t>
      </w:r>
      <w:r>
        <w:rPr/>
        <w:t xml:space="preserve">Marc, X, 43.</w:t>
      </w:r>
    </w:p>
  </w:footnote>
  <w:footnote w:id="545">
    <w:p>
      <w:pPr>
        <w:pStyle w:val="Notedebasdepage"/>
      </w:pPr>
      <w:r>
        <w:rPr>
          <w:rStyle w:val="Appelnotedebasdep"/>
        </w:rPr>
        <w:footnoteRef/>
        <w:t xml:space="preserve"> </w:t>
      </w:r>
      <w:r>
        <w:rPr/>
        <w:t xml:space="preserve"> Matth., </w:t>
      </w:r>
      <w:r>
        <w:rPr/>
        <w:t xml:space="preserve">xi</w:t>
      </w:r>
      <w:r>
        <w:rPr/>
        <w:t xml:space="preserve">, 25 ; Luc, X, 21.</w:t>
      </w:r>
    </w:p>
  </w:footnote>
  <w:footnote w:id="546">
    <w:p>
      <w:pPr>
        <w:pStyle w:val="Notedebasdepage"/>
      </w:pPr>
      <w:r>
        <w:rPr>
          <w:rStyle w:val="Appelnotedebasdep"/>
        </w:rPr>
        <w:footnoteRef/>
        <w:t xml:space="preserve"> </w:t>
      </w:r>
      <w:r>
        <w:rPr/>
        <w:t xml:space="preserve">Matth., X, 42 ; XVIII, 5, 44 ; Marc, IX, 36 ; Luc, XVII, 2.</w:t>
      </w:r>
    </w:p>
  </w:footnote>
  <w:footnote w:id="547">
    <w:p>
      <w:pPr>
        <w:pStyle w:val="Notedebasdepage"/>
      </w:pPr>
      <w:r>
        <w:rPr>
          <w:rStyle w:val="Appelnotedebasdep"/>
        </w:rPr>
        <w:footnoteRef/>
        <w:t xml:space="preserve"> </w:t>
      </w:r>
      <w:r>
        <w:rPr/>
        <w:t xml:space="preserve">Matth, XVIII, 4 ; Marc, IX, 33-36 ; Luc, IX, 46-48.</w:t>
      </w:r>
    </w:p>
  </w:footnote>
  <w:footnote w:id="548">
    <w:p>
      <w:pPr>
        <w:pStyle w:val="Notedebasdepage"/>
      </w:pPr>
      <w:r>
        <w:rPr>
          <w:rStyle w:val="Appelnotedebasdep"/>
        </w:rPr>
        <w:footnoteRef/>
        <w:t xml:space="preserve"> </w:t>
      </w:r>
      <w:r>
        <w:rPr/>
        <w:t xml:space="preserve">Luc, XXII, 30.</w:t>
      </w:r>
    </w:p>
  </w:footnote>
  <w:footnote w:id="549">
    <w:p>
      <w:pPr>
        <w:pStyle w:val="Notedebasdepage"/>
      </w:pPr>
      <w:r>
        <w:rPr>
          <w:rStyle w:val="Appelnotedebasdep"/>
        </w:rPr>
        <w:footnoteRef/>
        <w:t xml:space="preserve"> </w:t>
      </w:r>
      <w:r>
        <w:rPr/>
        <w:t xml:space="preserve">Marc, X, 37,40-41.</w:t>
      </w:r>
    </w:p>
  </w:footnote>
  <w:footnote w:id="550">
    <w:p>
      <w:pPr>
        <w:pStyle w:val="Notedebasdepage"/>
      </w:pPr>
      <w:r>
        <w:rPr>
          <w:rStyle w:val="Appelnotedebasdep"/>
        </w:rPr>
        <w:footnoteRef/>
        <w:t xml:space="preserve"> </w:t>
      </w:r>
      <w:r>
        <w:rPr/>
        <w:t xml:space="preserve"> Luc, XXIII, 43 ; II Cor., XII, 4. Comp. </w:t>
      </w:r>
      <w:r>
        <w:rPr>
          <w:i/>
        </w:rPr>
        <w:t xml:space="preserve">Carm. sibyll</w:t>
      </w:r>
      <w:r>
        <w:rPr/>
        <w:t xml:space="preserve">., prooem., 86 ; Talm. de Bab., </w:t>
      </w:r>
      <w:r>
        <w:rPr>
          <w:i/>
        </w:rPr>
        <w:t xml:space="preserve">Chagiga, 14 b.</w:t>
      </w:r>
    </w:p>
  </w:footnote>
  <w:footnote w:id="551">
    <w:p>
      <w:pPr>
        <w:pStyle w:val="Notedebasdepage"/>
      </w:pPr>
      <w:r>
        <w:rPr>
          <w:rStyle w:val="Appelnotedebasdep"/>
        </w:rPr>
        <w:footnoteRef/>
        <w:t xml:space="preserve"> </w:t>
      </w:r>
      <w:r>
        <w:rPr/>
        <w:t xml:space="preserve">Matth., XI 2 et suiv. ; Luc, VII, 18 et suiv.</w:t>
      </w:r>
    </w:p>
  </w:footnote>
  <w:footnote w:id="552">
    <w:p>
      <w:pPr>
        <w:pStyle w:val="Notedebasdepage"/>
      </w:pPr>
      <w:r>
        <w:rPr>
          <w:rStyle w:val="Appelnotedebasdep"/>
        </w:rPr>
        <w:footnoteRef/>
        <w:t xml:space="preserve"> </w:t>
      </w:r>
      <w:r>
        <w:rPr/>
        <w:t xml:space="preserve">Matth., IX, 14 et suiv.</w:t>
      </w:r>
    </w:p>
  </w:footnote>
  <w:footnote w:id="553">
    <w:p>
      <w:pPr>
        <w:pStyle w:val="Notedebasdepage"/>
      </w:pPr>
      <w:r>
        <w:rPr>
          <w:rStyle w:val="Appelnotedebasdep"/>
        </w:rPr>
        <w:footnoteRef/>
        <w:t xml:space="preserve"> </w:t>
      </w:r>
      <w:r>
        <w:rPr/>
        <w:t xml:space="preserve">Matth., XIV, 4 et suiv. ; Marc, VI, 18 et suiv. ; Luc, III, 49.</w:t>
      </w:r>
    </w:p>
  </w:footnote>
  <w:footnote w:id="554">
    <w:p>
      <w:pPr>
        <w:pStyle w:val="Notedebasdepage"/>
      </w:pPr>
      <w:r>
        <w:rPr>
          <w:rStyle w:val="Appelnotedebasdep"/>
        </w:rPr>
        <w:footnoteRef/>
        <w:t xml:space="preserve"> </w:t>
      </w:r>
      <w:r>
        <w:rPr/>
        <w:t xml:space="preserve"> Jos., </w:t>
      </w:r>
      <w:r>
        <w:rPr>
          <w:i/>
        </w:rPr>
        <w:t xml:space="preserve">De Belle jud</w:t>
      </w:r>
      <w:r>
        <w:rPr/>
        <w:t xml:space="preserve">., VII, </w:t>
      </w:r>
      <w:r>
        <w:rPr/>
        <w:t xml:space="preserve">vi</w:t>
      </w:r>
      <w:r>
        <w:rPr/>
        <w:t xml:space="preserve">, 2.</w:t>
      </w:r>
    </w:p>
  </w:footnote>
  <w:footnote w:id="555">
    <w:p>
      <w:pPr>
        <w:pStyle w:val="Notedebasdepage"/>
      </w:pPr>
      <w:r>
        <w:rPr>
          <w:rStyle w:val="Appelnotedebasdep"/>
        </w:rPr>
        <w:footnoteRef/>
        <w:t xml:space="preserve"> </w:t>
      </w:r>
      <w:r>
        <w:rPr/>
        <w:t xml:space="preserve">Plateaux portatifs sur lesquels, en Orient, on sert les liqueurs et les mets.</w:t>
      </w:r>
    </w:p>
  </w:footnote>
  <w:footnote w:id="556">
    <w:p>
      <w:pPr>
        <w:pStyle w:val="Notedebasdepage"/>
      </w:pPr>
      <w:r>
        <w:rPr>
          <w:rStyle w:val="Appelnotedebasdep"/>
        </w:rPr>
        <w:footnoteRef/>
        <w:t xml:space="preserve"> </w:t>
      </w:r>
      <w:r>
        <w:rPr/>
        <w:t xml:space="preserve"> Matth., XIV, 3 et suiv. ; Marc, VI, 14-29 ; Jos., </w:t>
      </w:r>
      <w:r>
        <w:rPr>
          <w:i/>
        </w:rPr>
        <w:t xml:space="preserve">Ant</w:t>
      </w:r>
      <w:r>
        <w:rPr/>
        <w:t xml:space="preserve">., XVIII, V, 2.</w:t>
      </w:r>
    </w:p>
  </w:footnote>
  <w:footnote w:id="557">
    <w:p>
      <w:pPr>
        <w:pStyle w:val="Notedebasdepage"/>
      </w:pPr>
      <w:r>
        <w:rPr>
          <w:rStyle w:val="Appelnotedebasdep"/>
        </w:rPr>
        <w:footnoteRef/>
        <w:t xml:space="preserve"> </w:t>
      </w:r>
      <w:r>
        <w:rPr/>
        <w:t xml:space="preserve"> Josèphe, </w:t>
      </w:r>
      <w:r>
        <w:rPr>
          <w:i/>
        </w:rPr>
        <w:t xml:space="preserve">Ant</w:t>
      </w:r>
      <w:r>
        <w:rPr/>
        <w:t xml:space="preserve">., XVIII, V, 1 et 2.</w:t>
      </w:r>
    </w:p>
  </w:footnote>
  <w:footnote w:id="558">
    <w:p>
      <w:pPr>
        <w:pStyle w:val="Notedebasdepage"/>
      </w:pPr>
      <w:r>
        <w:rPr>
          <w:rStyle w:val="Appelnotedebasdep"/>
        </w:rPr>
        <w:footnoteRef/>
        <w:t xml:space="preserve"> </w:t>
      </w:r>
      <w:r>
        <w:rPr/>
        <w:t xml:space="preserve">Matth., XIV, 12.</w:t>
      </w:r>
    </w:p>
  </w:footnote>
  <w:footnote w:id="559">
    <w:p>
      <w:pPr>
        <w:pStyle w:val="Notedebasdepage"/>
      </w:pPr>
      <w:r>
        <w:rPr>
          <w:rStyle w:val="Appelnotedebasdep"/>
        </w:rPr>
        <w:footnoteRef/>
        <w:t xml:space="preserve"> </w:t>
      </w:r>
      <w:r>
        <w:rPr/>
        <w:t xml:space="preserve">Matth., XIV, 13.</w:t>
      </w:r>
    </w:p>
  </w:footnote>
  <w:footnote w:id="560">
    <w:p>
      <w:pPr>
        <w:pStyle w:val="Notedebasdepage"/>
      </w:pPr>
      <w:r>
        <w:rPr>
          <w:rStyle w:val="Appelnotedebasdep"/>
        </w:rPr>
        <w:footnoteRef/>
        <w:t xml:space="preserve"> </w:t>
      </w:r>
      <w:r>
        <w:rPr/>
        <w:t xml:space="preserve">Matth., XIV, 15 et suiv. ; Marc, VI, 35 et suiv. ; Luc, IX, 41 et suiv. ; Jean, VI, 2 et suiv.</w:t>
      </w:r>
    </w:p>
  </w:footnote>
  <w:footnote w:id="561">
    <w:p>
      <w:pPr>
        <w:pStyle w:val="Notedebasdepage"/>
      </w:pPr>
      <w:r>
        <w:rPr>
          <w:rStyle w:val="Appelnotedebasdep"/>
        </w:rPr>
        <w:footnoteRef/>
        <w:t xml:space="preserve"> </w:t>
      </w:r>
      <w:r>
        <w:rPr/>
        <w:t xml:space="preserve"> Matth., </w:t>
      </w:r>
      <w:r>
        <w:rPr/>
        <w:t xml:space="preserve">xi</w:t>
      </w:r>
      <w:r>
        <w:rPr/>
        <w:t xml:space="preserve">, 7 et suiv. ; Luc, VII, 24 et suiv.</w:t>
      </w:r>
    </w:p>
  </w:footnote>
  <w:footnote w:id="562">
    <w:p>
      <w:pPr>
        <w:pStyle w:val="Notedebasdepage"/>
      </w:pPr>
      <w:r>
        <w:rPr>
          <w:rStyle w:val="Appelnotedebasdep"/>
        </w:rPr>
        <w:footnoteRef/>
        <w:t xml:space="preserve"> </w:t>
      </w:r>
      <w:r>
        <w:rPr/>
        <w:t xml:space="preserve"> Matth., </w:t>
      </w:r>
      <w:r>
        <w:rPr/>
        <w:t xml:space="preserve">xi</w:t>
      </w:r>
      <w:r>
        <w:rPr/>
        <w:t xml:space="preserve">, 12-13 ; Luc, XVI, 16.</w:t>
      </w:r>
    </w:p>
  </w:footnote>
  <w:footnote w:id="563">
    <w:p>
      <w:pPr>
        <w:pStyle w:val="Notedebasdepage"/>
      </w:pPr>
      <w:r>
        <w:rPr>
          <w:rStyle w:val="Appelnotedebasdep"/>
        </w:rPr>
        <w:footnoteRef/>
        <w:t xml:space="preserve"> </w:t>
      </w:r>
      <w:r>
        <w:rPr/>
        <w:t xml:space="preserve"> Malachie, III et IV ; </w:t>
      </w:r>
      <w:r>
        <w:rPr>
          <w:i/>
        </w:rPr>
        <w:t xml:space="preserve">Ecclésiast.</w:t>
      </w:r>
      <w:r>
        <w:rPr/>
        <w:t xml:space="preserve">, XLVIII, 10. V. ci-dessus, ch. VI.</w:t>
      </w:r>
    </w:p>
  </w:footnote>
  <w:footnote w:id="564">
    <w:p>
      <w:pPr>
        <w:pStyle w:val="Notedebasdepage"/>
      </w:pPr>
      <w:r>
        <w:rPr>
          <w:rStyle w:val="Appelnotedebasdep"/>
        </w:rPr>
        <w:footnoteRef/>
        <w:t xml:space="preserve"> </w:t>
      </w:r>
      <w:r>
        <w:rPr/>
        <w:t xml:space="preserve"> Matth., </w:t>
      </w:r>
      <w:r>
        <w:rPr/>
        <w:t xml:space="preserve">xi</w:t>
      </w:r>
      <w:r>
        <w:rPr/>
        <w:t xml:space="preserve">, 14 ; XVII, 10 ; Marc, VI, 15 ; VIII, 28 ; IX, 40 et suiv. ; Luc, IX, 8, 19.</w:t>
      </w:r>
    </w:p>
  </w:footnote>
  <w:footnote w:id="565">
    <w:p>
      <w:pPr>
        <w:pStyle w:val="Notedebasdepage"/>
      </w:pPr>
      <w:r>
        <w:rPr>
          <w:rStyle w:val="Appelnotedebasdep"/>
        </w:rPr>
        <w:footnoteRef/>
        <w:t xml:space="preserve"> </w:t>
      </w:r>
      <w:r>
        <w:rPr>
          <w:i/>
        </w:rPr>
        <w:t xml:space="preserve">Ecclésiastique</w:t>
      </w:r>
      <w:r>
        <w:rPr/>
        <w:t xml:space="preserve">, XLIV, 16.</w:t>
      </w:r>
    </w:p>
  </w:footnote>
  <w:footnote w:id="566">
    <w:p>
      <w:pPr>
        <w:pStyle w:val="Notedebasdepage"/>
      </w:pPr>
      <w:r>
        <w:rPr>
          <w:rStyle w:val="Appelnotedebasdep"/>
        </w:rPr>
        <w:footnoteRef/>
        <w:t xml:space="preserve"> </w:t>
      </w:r>
      <w:r>
        <w:rPr/>
        <w:t xml:space="preserve">Matth., XVI, 14.</w:t>
      </w:r>
    </w:p>
  </w:footnote>
  <w:footnote w:id="567">
    <w:p>
      <w:pPr>
        <w:pStyle w:val="Notedebasdepage"/>
      </w:pPr>
      <w:r>
        <w:rPr>
          <w:rStyle w:val="Appelnotedebasdep"/>
        </w:rPr>
        <w:footnoteRef/>
        <w:t xml:space="preserve"> </w:t>
      </w:r>
      <w:r>
        <w:rPr/>
        <w:t xml:space="preserve">II Macch., XV, 13 et suiv.</w:t>
      </w:r>
    </w:p>
  </w:footnote>
  <w:footnote w:id="568">
    <w:p>
      <w:pPr>
        <w:pStyle w:val="Notedebasdepage"/>
      </w:pPr>
      <w:r>
        <w:rPr>
          <w:rStyle w:val="Appelnotedebasdep"/>
        </w:rPr>
        <w:footnoteRef/>
        <w:t xml:space="preserve"> </w:t>
      </w:r>
      <w:r>
        <w:rPr/>
        <w:t xml:space="preserve"> Textes cités par Anquetil-Duperron, </w:t>
      </w:r>
      <w:r>
        <w:rPr>
          <w:i/>
        </w:rPr>
        <w:t xml:space="preserve">Zend-Avesta</w:t>
      </w:r>
      <w:r>
        <w:rPr/>
        <w:t xml:space="preserve">, I, 2e part., p. 46, rectifiés par Spiegel, dans la </w:t>
      </w:r>
      <w:r>
        <w:rPr>
          <w:i/>
        </w:rPr>
        <w:t xml:space="preserve">Zeitschrift der deutschen morgenlændischen Gesellschaft</w:t>
      </w:r>
      <w:r>
        <w:rPr/>
        <w:t xml:space="preserve">, I, 261 et suiv. ; extraits du </w:t>
      </w:r>
      <w:r>
        <w:rPr>
          <w:i/>
        </w:rPr>
        <w:t xml:space="preserve">Jamasp-Nameh</w:t>
      </w:r>
      <w:r>
        <w:rPr/>
        <w:t xml:space="preserve">, dans l’</w:t>
      </w:r>
      <w:r>
        <w:rPr>
          <w:i/>
        </w:rPr>
        <w:t xml:space="preserve">Avesta</w:t>
      </w:r>
      <w:r>
        <w:rPr/>
        <w:t xml:space="preserve"> de Spiegel, I, p. 34. Aucun des textes parsis qui impliquent vraiment l’idée de prophètes ressuscités et précurseurs n’est ancien ; mais les idées contenues dans ces textes paraissent bien antérieures à l’époque de la rédaction desdits textes.</w:t>
      </w:r>
    </w:p>
  </w:footnote>
  <w:footnote w:id="569">
    <w:p>
      <w:pPr>
        <w:pStyle w:val="Notedebasdepage"/>
      </w:pPr>
      <w:r>
        <w:rPr>
          <w:rStyle w:val="Appelnotedebasdep"/>
        </w:rPr>
        <w:footnoteRef/>
        <w:t xml:space="preserve"> </w:t>
      </w:r>
      <w:r>
        <w:rPr>
          <w:i/>
        </w:rPr>
        <w:t xml:space="preserve">Apoc</w:t>
      </w:r>
      <w:r>
        <w:rPr/>
        <w:t xml:space="preserve">., XI, 3 et suiv.</w:t>
      </w:r>
    </w:p>
  </w:footnote>
  <w:footnote w:id="570">
    <w:p>
      <w:pPr>
        <w:pStyle w:val="Notedebasdepage"/>
      </w:pPr>
      <w:r>
        <w:rPr>
          <w:rStyle w:val="Appelnotedebasdep"/>
        </w:rPr>
        <w:footnoteRef/>
        <w:t xml:space="preserve"> </w:t>
      </w:r>
      <w:r>
        <w:rPr/>
        <w:t xml:space="preserve">Marc, IX, 10.</w:t>
      </w:r>
    </w:p>
  </w:footnote>
  <w:footnote w:id="571">
    <w:p>
      <w:pPr>
        <w:pStyle w:val="Notedebasdepage"/>
      </w:pPr>
      <w:r>
        <w:rPr>
          <w:rStyle w:val="Appelnotedebasdep"/>
        </w:rPr>
        <w:footnoteRef/>
        <w:t xml:space="preserve"> </w:t>
      </w:r>
      <w:r>
        <w:rPr/>
        <w:t xml:space="preserve"> Matth., </w:t>
      </w:r>
      <w:r>
        <w:rPr/>
        <w:t xml:space="preserve">xi</w:t>
      </w:r>
      <w:r>
        <w:rPr/>
        <w:t xml:space="preserve">, 14 ; XVII, 10-13 ; Marc, VI, 15 ; IX, 10-12 ; Luc, IX, 8 ; Jean, </w:t>
      </w:r>
      <w:r>
        <w:rPr/>
        <w:t xml:space="preserve">i</w:t>
      </w:r>
      <w:r>
        <w:rPr/>
        <w:t xml:space="preserve">, 21-25.</w:t>
      </w:r>
    </w:p>
  </w:footnote>
  <w:footnote w:id="572">
    <w:p>
      <w:pPr>
        <w:pStyle w:val="Notedebasdepage"/>
      </w:pPr>
      <w:r>
        <w:rPr>
          <w:rStyle w:val="Appelnotedebasdep"/>
        </w:rPr>
        <w:footnoteRef/>
        <w:t xml:space="preserve"> </w:t>
      </w:r>
      <w:r>
        <w:rPr/>
        <w:t xml:space="preserve"> Luc, </w:t>
      </w:r>
      <w:r>
        <w:rPr/>
        <w:t xml:space="preserve">i</w:t>
      </w:r>
      <w:r>
        <w:rPr/>
        <w:t xml:space="preserve">, 17.</w:t>
      </w:r>
    </w:p>
  </w:footnote>
  <w:footnote w:id="573">
    <w:p>
      <w:pPr>
        <w:pStyle w:val="Notedebasdepage"/>
      </w:pPr>
      <w:r>
        <w:rPr>
          <w:rStyle w:val="Appelnotedebasdep"/>
        </w:rPr>
        <w:footnoteRef/>
        <w:t xml:space="preserve"> </w:t>
      </w:r>
      <w:r>
        <w:rPr/>
        <w:t xml:space="preserve">Matth., XXI, 32 ; Luc, VII, 29-30.</w:t>
      </w:r>
    </w:p>
  </w:footnote>
  <w:footnote w:id="574">
    <w:p>
      <w:pPr>
        <w:pStyle w:val="Notedebasdepage"/>
      </w:pPr>
      <w:r>
        <w:rPr>
          <w:rStyle w:val="Appelnotedebasdep"/>
        </w:rPr>
        <w:footnoteRef/>
        <w:t xml:space="preserve"> </w:t>
      </w:r>
      <w:r>
        <w:rPr>
          <w:i/>
        </w:rPr>
        <w:t xml:space="preserve">Act.</w:t>
      </w:r>
      <w:r>
        <w:rPr/>
        <w:t xml:space="preserve">, XIX, 4.</w:t>
      </w:r>
    </w:p>
  </w:footnote>
  <w:footnote w:id="575">
    <w:p>
      <w:pPr>
        <w:pStyle w:val="Notedebasdepage"/>
      </w:pPr>
      <w:r>
        <w:rPr>
          <w:rStyle w:val="Appelnotedebasdep"/>
        </w:rPr>
        <w:footnoteRef/>
        <w:t xml:space="preserve"> </w:t>
      </w:r>
      <w:r>
        <w:rPr/>
        <w:t xml:space="preserve"> Luc, </w:t>
      </w:r>
      <w:r>
        <w:rPr/>
        <w:t xml:space="preserve">i</w:t>
      </w:r>
      <w:r>
        <w:rPr/>
        <w:t xml:space="preserve">.</w:t>
      </w:r>
    </w:p>
  </w:footnote>
  <w:footnote w:id="576">
    <w:p>
      <w:pPr>
        <w:pStyle w:val="Notedebasdepage"/>
      </w:pPr>
      <w:r>
        <w:rPr>
          <w:rStyle w:val="Appelnotedebasdep"/>
        </w:rPr>
        <w:footnoteRef/>
        <w:t xml:space="preserve"> </w:t>
      </w:r>
      <w:r>
        <w:rPr/>
        <w:t xml:space="preserve"> Matth., III, 14 et suiv. ; Luc, III, 16 ; Jean, </w:t>
      </w:r>
      <w:r>
        <w:rPr/>
        <w:t xml:space="preserve">i</w:t>
      </w:r>
      <w:r>
        <w:rPr/>
        <w:t xml:space="preserve">, 15 et suiv. ; V, 2-33.</w:t>
      </w:r>
    </w:p>
  </w:footnote>
  <w:footnote w:id="577">
    <w:p>
      <w:pPr>
        <w:pStyle w:val="Notedebasdepage"/>
      </w:pPr>
      <w:r>
        <w:rPr>
          <w:rStyle w:val="Appelnotedebasdep"/>
        </w:rPr>
        <w:footnoteRef/>
        <w:t xml:space="preserve"> </w:t>
      </w:r>
      <w:r>
        <w:rPr/>
        <w:t xml:space="preserve">Matth., XI, 2 et suiv. ; Luc, VII, 18 et suiv.</w:t>
      </w:r>
    </w:p>
  </w:footnote>
  <w:footnote w:id="578">
    <w:p>
      <w:pPr>
        <w:pStyle w:val="Notedebasdepage"/>
      </w:pPr>
      <w:r>
        <w:rPr>
          <w:rStyle w:val="Appelnotedebasdep"/>
        </w:rPr>
        <w:footnoteRef/>
        <w:t xml:space="preserve"> </w:t>
      </w:r>
      <w:r>
        <w:rPr>
          <w:i/>
        </w:rPr>
        <w:t xml:space="preserve">Act</w:t>
      </w:r>
      <w:r>
        <w:rPr/>
        <w:t xml:space="preserve">., XVIII, 28 ; XIX, 1-5. Cf. Épiph., </w:t>
      </w:r>
      <w:r>
        <w:rPr>
          <w:i/>
        </w:rPr>
        <w:t xml:space="preserve">Adv. hær.</w:t>
      </w:r>
      <w:r>
        <w:rPr/>
        <w:t xml:space="preserve">, XXX, 16.</w:t>
      </w:r>
    </w:p>
  </w:footnote>
  <w:footnote w:id="579">
    <w:p>
      <w:pPr>
        <w:pStyle w:val="Notedebasdepage"/>
      </w:pPr>
      <w:r>
        <w:rPr>
          <w:rStyle w:val="Appelnotedebasdep"/>
        </w:rPr>
        <w:footnoteRef/>
        <w:t xml:space="preserve"> </w:t>
      </w:r>
      <w:r>
        <w:rPr>
          <w:i/>
        </w:rPr>
        <w:t xml:space="preserve">Vita</w:t>
      </w:r>
      <w:r>
        <w:rPr/>
        <w:t xml:space="preserve">, 2.</w:t>
      </w:r>
    </w:p>
  </w:footnote>
  <w:footnote w:id="580">
    <w:p>
      <w:pPr>
        <w:pStyle w:val="Notedebasdepage"/>
      </w:pPr>
      <w:r>
        <w:rPr>
          <w:rStyle w:val="Appelnotedebasdep"/>
        </w:rPr>
        <w:footnoteRef/>
        <w:t xml:space="preserve"> </w:t>
      </w:r>
      <w:r>
        <w:rPr/>
        <w:t xml:space="preserve"> Serait-ce le Bounaï qui est compté par le Talmud (Bab., </w:t>
      </w:r>
      <w:r>
        <w:rPr>
          <w:i/>
        </w:rPr>
        <w:t xml:space="preserve">Sanhédrin</w:t>
      </w:r>
      <w:r>
        <w:rPr/>
        <w:t xml:space="preserve">, 43 </w:t>
      </w:r>
      <w:r>
        <w:rPr>
          <w:i/>
        </w:rPr>
        <w:t xml:space="preserve">a</w:t>
      </w:r>
      <w:r>
        <w:rPr/>
        <w:t xml:space="preserve">) au nombre des disciples de Jésus ?</w:t>
      </w:r>
    </w:p>
  </w:footnote>
  <w:footnote w:id="581">
    <w:p>
      <w:pPr>
        <w:pStyle w:val="Notedebasdepage"/>
      </w:pPr>
      <w:r>
        <w:rPr>
          <w:rStyle w:val="Appelnotedebasdep"/>
        </w:rPr>
        <w:footnoteRef/>
        <w:t xml:space="preserve"> </w:t>
      </w:r>
      <w:r>
        <w:rPr/>
        <w:t xml:space="preserve"> Ilégésippe, dans Eusèbe, </w:t>
      </w:r>
      <w:r>
        <w:rPr>
          <w:i/>
        </w:rPr>
        <w:t xml:space="preserve">H. E.</w:t>
      </w:r>
      <w:r>
        <w:rPr/>
        <w:t xml:space="preserve">, II, 23.</w:t>
      </w:r>
    </w:p>
  </w:footnote>
  <w:footnote w:id="582">
    <w:p>
      <w:pPr>
        <w:pStyle w:val="Notedebasdepage"/>
      </w:pPr>
      <w:r>
        <w:rPr>
          <w:rStyle w:val="Appelnotedebasdep"/>
        </w:rPr>
        <w:footnoteRef/>
        <w:t xml:space="preserve"> </w:t>
      </w:r>
      <w:r>
        <w:rPr/>
        <w:t xml:space="preserve"> Évang., </w:t>
      </w:r>
      <w:r>
        <w:rPr/>
        <w:t xml:space="preserve">i</w:t>
      </w:r>
      <w:r>
        <w:rPr/>
        <w:t xml:space="preserve">, 26,33 ; IV, 2 ; I Épître, V, 6. Cf. </w:t>
      </w:r>
      <w:r>
        <w:rPr>
          <w:i/>
        </w:rPr>
        <w:t xml:space="preserve">Act.</w:t>
      </w:r>
      <w:r>
        <w:rPr/>
        <w:t xml:space="preserve">, X, 47.</w:t>
      </w:r>
    </w:p>
  </w:footnote>
  <w:footnote w:id="583">
    <w:p>
      <w:pPr>
        <w:pStyle w:val="Notedebasdepage"/>
      </w:pPr>
      <w:r>
        <w:rPr>
          <w:rStyle w:val="Appelnotedebasdep"/>
        </w:rPr>
        <w:footnoteRef/>
        <w:t xml:space="preserve"> </w:t>
      </w:r>
      <w:r>
        <w:rPr/>
        <w:t xml:space="preserve"> Livre IV. Voir surtout </w:t>
      </w:r>
      <w:r>
        <w:rPr/>
        <w:t xml:space="preserve">v</w:t>
      </w:r>
      <w:r>
        <w:rPr/>
        <w:t xml:space="preserve">. 157 et suiv.</w:t>
      </w:r>
    </w:p>
  </w:footnote>
  <w:footnote w:id="584">
    <w:p>
      <w:pPr>
        <w:pStyle w:val="Notedebasdepage"/>
      </w:pPr>
      <w:r>
        <w:rPr>
          <w:rStyle w:val="Appelnotedebasdep"/>
        </w:rPr>
        <w:footnoteRef/>
        <w:t xml:space="preserve"> </w:t>
      </w:r>
      <w:r>
        <w:rPr/>
        <w:t xml:space="preserve"> Je rappelle que </w:t>
      </w:r>
      <w:r>
        <w:rPr>
          <w:i/>
        </w:rPr>
        <w:t xml:space="preserve">Sabiens</w:t>
      </w:r>
      <w:r>
        <w:rPr/>
        <w:t xml:space="preserve"> est l’équivalent araméen du mot « Baptistes. » </w:t>
      </w:r>
      <w:r>
        <w:rPr>
          <w:i/>
        </w:rPr>
        <w:t xml:space="preserve">Mogtasila</w:t>
      </w:r>
      <w:r>
        <w:rPr/>
        <w:t xml:space="preserve"> a le même sens en arabe.</w:t>
      </w:r>
    </w:p>
  </w:footnote>
  <w:footnote w:id="585">
    <w:p>
      <w:pPr>
        <w:pStyle w:val="Notedebasdepage"/>
      </w:pPr>
      <w:r>
        <w:rPr>
          <w:rStyle w:val="Appelnotedebasdep"/>
        </w:rPr>
        <w:footnoteRef/>
        <w:t xml:space="preserve"> </w:t>
      </w:r>
      <w:r>
        <w:rPr/>
        <w:t xml:space="preserve">Ils les supposent cependant obscurément (Matth., XXIII, 37 ; Luc, XIII, 34). Ils connaissent aussi bien que Jean la relation de Jésus avec Joseph d’Arimathie. Luc même (X, 38-42) connaît la famille de Béthanie. Luc (IX, 51-54) a un sentiment vague du système du quatrième évangile sur les voyages de Jésus. Plusieurs discours contre les Pharisiens et les Sadducéens, placés par les synoptiques en Galilée, n’ont guère de sens qu’à Jérusalem. Enfin, le laps de huit jours est beaucoup trop court pour expliquer tout ce qui dut se passer entre l’arrivée de Jésus dans cette ville et sa mort.</w:t>
      </w:r>
    </w:p>
  </w:footnote>
  <w:footnote w:id="586">
    <w:p>
      <w:pPr>
        <w:pStyle w:val="Notedebasdepage"/>
      </w:pPr>
      <w:r>
        <w:rPr>
          <w:rStyle w:val="Appelnotedebasdep"/>
        </w:rPr>
        <w:footnoteRef/>
        <w:t xml:space="preserve"> </w:t>
      </w:r>
      <w:r>
        <w:rPr/>
        <w:t xml:space="preserve">Deux pèlerinages sont clairement indiqués (Jean, II, 13, et V, 1), sans parler du dernier voyage (VII, 10), après lequel Jésus ne retourna plus en Galilée. Le premier avait eu lieu pendant que Jean baptisait encore. Il appartiendrait, par conséquent, à la pâque de l’an 29. Mais les circonstances données comme appartenant à ce voyage sont d’une époque plus avancée (comp. surtout Jean, II, 14 et suiv., et Matth., XXI, 12-13 ; Marc, 15-17 ; Luc, XIX, 45-46). Il y a évidemment des transpositions de date dans ces chapitres de Jean, ou plutôt il a mêlé les circonstances de divers voyages.</w:t>
      </w:r>
    </w:p>
  </w:footnote>
  <w:footnote w:id="587">
    <w:p>
      <w:pPr>
        <w:pStyle w:val="Notedebasdepage"/>
      </w:pPr>
      <w:r>
        <w:rPr>
          <w:rStyle w:val="Appelnotedebasdep"/>
        </w:rPr>
        <w:footnoteRef/>
        <w:t xml:space="preserve"> </w:t>
      </w:r>
      <w:r>
        <w:rPr/>
        <w:t xml:space="preserve">On en peut juger par le Talmud, écho de la scolastique juive de ce temps.</w:t>
      </w:r>
    </w:p>
  </w:footnote>
  <w:footnote w:id="588">
    <w:p>
      <w:pPr>
        <w:pStyle w:val="Notedebasdepage"/>
      </w:pPr>
      <w:r>
        <w:rPr>
          <w:rStyle w:val="Appelnotedebasdep"/>
        </w:rPr>
        <w:footnoteRef/>
        <w:t xml:space="preserve"> </w:t>
      </w:r>
      <w:r>
        <w:rPr/>
        <w:t xml:space="preserve"> Jos., </w:t>
      </w:r>
      <w:r>
        <w:rPr>
          <w:i/>
        </w:rPr>
        <w:t xml:space="preserve">Ant</w:t>
      </w:r>
      <w:r>
        <w:rPr/>
        <w:t xml:space="preserve">., XX, </w:t>
      </w:r>
      <w:r>
        <w:rPr/>
        <w:t xml:space="preserve">xi</w:t>
      </w:r>
      <w:r>
        <w:rPr/>
        <w:t xml:space="preserve">, 2.</w:t>
      </w:r>
    </w:p>
  </w:footnote>
  <w:footnote w:id="589">
    <w:p>
      <w:pPr>
        <w:pStyle w:val="Notedebasdepage"/>
      </w:pPr>
      <w:r>
        <w:rPr>
          <w:rStyle w:val="Appelnotedebasdep"/>
        </w:rPr>
        <w:footnoteRef/>
        <w:t xml:space="preserve"> </w:t>
      </w:r>
      <w:r>
        <w:rPr/>
        <w:t xml:space="preserve"> Ps. LXXXIV (Vulg. LXXXIII), 11.</w:t>
      </w:r>
    </w:p>
  </w:footnote>
  <w:footnote w:id="590">
    <w:p>
      <w:pPr>
        <w:pStyle w:val="Notedebasdepage"/>
      </w:pPr>
      <w:r>
        <w:rPr>
          <w:rStyle w:val="Appelnotedebasdep"/>
        </w:rPr>
        <w:footnoteRef/>
        <w:t xml:space="preserve"> </w:t>
      </w:r>
      <w:r>
        <w:rPr/>
        <w:t xml:space="preserve"> Matth., XXVI, 73 ; Marc, XIV, 70 ; </w:t>
      </w:r>
      <w:r>
        <w:rPr>
          <w:i/>
        </w:rPr>
        <w:t xml:space="preserve">Act</w:t>
      </w:r>
      <w:r>
        <w:rPr/>
        <w:t xml:space="preserve">., II, 7 ; Talm. de Bab., </w:t>
      </w:r>
      <w:r>
        <w:rPr>
          <w:i/>
        </w:rPr>
        <w:t xml:space="preserve">Erubin</w:t>
      </w:r>
      <w:r>
        <w:rPr/>
        <w:t xml:space="preserve">, 53 </w:t>
      </w:r>
      <w:r>
        <w:rPr>
          <w:i/>
        </w:rPr>
        <w:t xml:space="preserve">a</w:t>
      </w:r>
      <w:r>
        <w:rPr/>
        <w:t xml:space="preserve"> et suiv. ; Bereschith rabba, 26 </w:t>
      </w:r>
      <w:r>
        <w:rPr>
          <w:i/>
        </w:rPr>
        <w:t xml:space="preserve">c</w:t>
      </w:r>
      <w:r>
        <w:rPr/>
        <w:t xml:space="preserve">.</w:t>
      </w:r>
    </w:p>
  </w:footnote>
  <w:footnote w:id="591">
    <w:p>
      <w:pPr>
        <w:pStyle w:val="Notedebasdepage"/>
      </w:pPr>
      <w:r>
        <w:rPr>
          <w:rStyle w:val="Appelnotedebasdep"/>
        </w:rPr>
        <w:footnoteRef/>
        <w:t xml:space="preserve"> </w:t>
      </w:r>
      <w:r>
        <w:rPr/>
        <w:t xml:space="preserve"> Passage du traité </w:t>
      </w:r>
      <w:r>
        <w:rPr>
          <w:i/>
        </w:rPr>
        <w:t xml:space="preserve">Erubin</w:t>
      </w:r>
      <w:r>
        <w:rPr/>
        <w:t xml:space="preserve">, précité.</w:t>
      </w:r>
    </w:p>
  </w:footnote>
  <w:footnote w:id="592">
    <w:p>
      <w:pPr>
        <w:pStyle w:val="Notedebasdepage"/>
      </w:pPr>
      <w:r>
        <w:rPr>
          <w:rStyle w:val="Appelnotedebasdep"/>
        </w:rPr>
        <w:footnoteRef/>
        <w:t xml:space="preserve"> </w:t>
      </w:r>
      <w:r>
        <w:rPr>
          <w:i/>
        </w:rPr>
        <w:t xml:space="preserve">Erubin</w:t>
      </w:r>
      <w:r>
        <w:rPr/>
        <w:t xml:space="preserve">, loc. cit., 53 </w:t>
      </w:r>
      <w:r>
        <w:rPr>
          <w:i/>
        </w:rPr>
        <w:t xml:space="preserve">b</w:t>
      </w:r>
      <w:r>
        <w:rPr/>
        <w:t xml:space="preserve">.</w:t>
      </w:r>
    </w:p>
  </w:footnote>
  <w:footnote w:id="593">
    <w:p>
      <w:pPr>
        <w:pStyle w:val="Notedebasdepage"/>
      </w:pPr>
      <w:r>
        <w:rPr>
          <w:rStyle w:val="Appelnotedebasdep"/>
        </w:rPr>
        <w:footnoteRef/>
        <w:t xml:space="preserve"> </w:t>
      </w:r>
      <w:r>
        <w:rPr/>
        <w:t xml:space="preserve">Jean, VII, 52.</w:t>
      </w:r>
    </w:p>
  </w:footnote>
  <w:footnote w:id="594">
    <w:p>
      <w:pPr>
        <w:pStyle w:val="Notedebasdepage"/>
      </w:pPr>
      <w:r>
        <w:rPr>
          <w:rStyle w:val="Appelnotedebasdep"/>
        </w:rPr>
        <w:footnoteRef/>
        <w:t xml:space="preserve"> </w:t>
      </w:r>
      <w:r>
        <w:rPr/>
        <w:t xml:space="preserve">IX, 1-2 ; Matth., IV, 13 et suiv.</w:t>
      </w:r>
    </w:p>
  </w:footnote>
  <w:footnote w:id="595">
    <w:p>
      <w:pPr>
        <w:pStyle w:val="Notedebasdepage"/>
      </w:pPr>
      <w:r>
        <w:rPr>
          <w:rStyle w:val="Appelnotedebasdep"/>
        </w:rPr>
        <w:footnoteRef/>
        <w:t xml:space="preserve"> </w:t>
      </w:r>
      <w:r>
        <w:rPr/>
        <w:t xml:space="preserve">Voir ci-dessus, p. 160, note 3.</w:t>
      </w:r>
    </w:p>
  </w:footnote>
  <w:footnote w:id="596">
    <w:p>
      <w:pPr>
        <w:pStyle w:val="Notedebasdepage"/>
      </w:pPr>
      <w:r>
        <w:rPr>
          <w:rStyle w:val="Appelnotedebasdep"/>
        </w:rPr>
        <w:footnoteRef/>
        <w:t xml:space="preserve"> </w:t>
      </w:r>
      <w:r>
        <w:rPr/>
        <w:t xml:space="preserve"> Jean </w:t>
      </w:r>
      <w:r>
        <w:rPr/>
        <w:t xml:space="preserve">i</w:t>
      </w:r>
      <w:r>
        <w:rPr/>
        <w:t xml:space="preserve">, 46.</w:t>
      </w:r>
    </w:p>
  </w:footnote>
  <w:footnote w:id="597">
    <w:p>
      <w:pPr>
        <w:pStyle w:val="Notedebasdepage"/>
      </w:pPr>
      <w:r>
        <w:rPr>
          <w:rStyle w:val="Appelnotedebasdep"/>
        </w:rPr>
        <w:footnoteRef/>
        <w:t xml:space="preserve"> </w:t>
      </w:r>
      <w:r>
        <w:rPr/>
        <w:t xml:space="preserve"> Jos., </w:t>
      </w:r>
      <w:r>
        <w:rPr>
          <w:i/>
        </w:rPr>
        <w:t xml:space="preserve">Ant</w:t>
      </w:r>
      <w:r>
        <w:rPr/>
        <w:t xml:space="preserve">., XV, </w:t>
      </w:r>
      <w:r>
        <w:rPr/>
        <w:t xml:space="preserve">viii-xi</w:t>
      </w:r>
      <w:r>
        <w:rPr/>
        <w:t xml:space="preserve"> ; </w:t>
      </w:r>
      <w:r>
        <w:rPr>
          <w:i/>
        </w:rPr>
        <w:t xml:space="preserve">B.J.</w:t>
      </w:r>
      <w:r>
        <w:rPr/>
        <w:t xml:space="preserve">, V, </w:t>
      </w:r>
      <w:r>
        <w:rPr/>
        <w:t xml:space="preserve">v</w:t>
      </w:r>
      <w:r>
        <w:rPr/>
        <w:t xml:space="preserve">, 6 ; Marc, XIII, 1-2.</w:t>
      </w:r>
    </w:p>
  </w:footnote>
  <w:footnote w:id="598">
    <w:p>
      <w:pPr>
        <w:pStyle w:val="Notedebasdepage"/>
      </w:pPr>
      <w:r>
        <w:rPr>
          <w:rStyle w:val="Appelnotedebasdep"/>
        </w:rPr>
        <w:footnoteRef/>
        <w:t xml:space="preserve"> </w:t>
      </w:r>
      <w:r>
        <w:rPr/>
        <w:t xml:space="preserve">Tombeaux dits des Juges, des Rois, d’Absalom, de Zacharie, de Josaphat, de saint Jacques. Comparez la description du tombeau des Macchabées à Modin (I Macch., XIII, 27 et suiv.).</w:t>
      </w:r>
    </w:p>
  </w:footnote>
  <w:footnote w:id="599">
    <w:p>
      <w:pPr>
        <w:pStyle w:val="Notedebasdepage"/>
      </w:pPr>
      <w:r>
        <w:rPr>
          <w:rStyle w:val="Appelnotedebasdep"/>
        </w:rPr>
        <w:footnoteRef/>
        <w:t xml:space="preserve"> </w:t>
      </w:r>
      <w:r>
        <w:rPr/>
        <w:t xml:space="preserve"> Matth., XXIII, 27,29 ; XXIV, 4 et suiv. ; Marc, XIII, 4 et suiv. ; Luc, XIX, 44 ; XXI, 5 et suiv. Comparez </w:t>
      </w:r>
      <w:r>
        <w:rPr>
          <w:i/>
        </w:rPr>
        <w:t xml:space="preserve">Livre d’Hénoch</w:t>
      </w:r>
      <w:r>
        <w:rPr/>
        <w:t xml:space="preserve">, XCVII, 43-14 ; Talmud de Babylone, </w:t>
      </w:r>
      <w:r>
        <w:rPr>
          <w:i/>
        </w:rPr>
        <w:t xml:space="preserve">Schabbath</w:t>
      </w:r>
      <w:r>
        <w:rPr/>
        <w:t xml:space="preserve">, 33 </w:t>
      </w:r>
      <w:r>
        <w:rPr>
          <w:i/>
        </w:rPr>
        <w:t xml:space="preserve">b</w:t>
      </w:r>
      <w:r>
        <w:rPr/>
        <w:t xml:space="preserve">.</w:t>
      </w:r>
    </w:p>
  </w:footnote>
  <w:footnote w:id="600">
    <w:p>
      <w:pPr>
        <w:pStyle w:val="Notedebasdepage"/>
      </w:pPr>
      <w:r>
        <w:rPr>
          <w:rStyle w:val="Appelnotedebasdep"/>
        </w:rPr>
        <w:footnoteRef/>
        <w:t xml:space="preserve"> </w:t>
      </w:r>
      <w:r>
        <w:rPr/>
        <w:t xml:space="preserve"> Jos., </w:t>
      </w:r>
      <w:r>
        <w:rPr>
          <w:i/>
        </w:rPr>
        <w:t xml:space="preserve">Ant.</w:t>
      </w:r>
      <w:r>
        <w:rPr/>
        <w:t xml:space="preserve">, XV, XL 5, 6.</w:t>
      </w:r>
    </w:p>
  </w:footnote>
  <w:footnote w:id="601">
    <w:p>
      <w:pPr>
        <w:pStyle w:val="Notedebasdepage"/>
      </w:pPr>
      <w:r>
        <w:rPr>
          <w:rStyle w:val="Appelnotedebasdep"/>
        </w:rPr>
        <w:footnoteRef/>
        <w:t xml:space="preserve"> </w:t>
      </w:r>
      <w:r>
        <w:rPr>
          <w:i/>
        </w:rPr>
        <w:t xml:space="preserve">Ibid.</w:t>
      </w:r>
      <w:r>
        <w:rPr/>
        <w:t xml:space="preserve">, XX, IX, 7 ; Jean, II 20.</w:t>
      </w:r>
    </w:p>
  </w:footnote>
  <w:footnote w:id="602">
    <w:p>
      <w:pPr>
        <w:pStyle w:val="Notedebasdepage"/>
      </w:pPr>
      <w:r>
        <w:rPr>
          <w:rStyle w:val="Appelnotedebasdep"/>
        </w:rPr>
        <w:footnoteRef/>
        <w:t xml:space="preserve"> </w:t>
      </w:r>
      <w:r>
        <w:rPr/>
        <w:t xml:space="preserve">Matth., XXIV, 2 ; XXVI, 61 ; XXVII, 40 ; Marc, XIII, 2 ; XIV, 58 ; XV, 29 ; Luc, XXI, 6 ; Jean, II, 19-20.</w:t>
      </w:r>
    </w:p>
  </w:footnote>
  <w:footnote w:id="603">
    <w:p>
      <w:pPr>
        <w:pStyle w:val="Notedebasdepage"/>
      </w:pPr>
      <w:r>
        <w:rPr>
          <w:rStyle w:val="Appelnotedebasdep"/>
        </w:rPr>
        <w:footnoteRef/>
        <w:t xml:space="preserve"> </w:t>
      </w:r>
      <w:r>
        <w:rPr/>
        <w:t xml:space="preserve"> Nul doute que le temple et son enceinte n’occupassent l’emplacement de la mosquée d’Omar et du </w:t>
      </w:r>
      <w:r>
        <w:rPr>
          <w:i/>
        </w:rPr>
        <w:t xml:space="preserve">haram</w:t>
      </w:r>
      <w:r>
        <w:rPr/>
        <w:t xml:space="preserve">, ou Cour Sacrée, qui environne la mosquée. Le terre-plein du haram est, dans quelques parties, notamment à l’endroit où les Juifs vont pleurer, le soubassement même du temple d’Hérode.</w:t>
      </w:r>
    </w:p>
  </w:footnote>
  <w:footnote w:id="604">
    <w:p>
      <w:pPr>
        <w:pStyle w:val="Notedebasdepage"/>
      </w:pPr>
      <w:r>
        <w:rPr>
          <w:rStyle w:val="Appelnotedebasdep"/>
        </w:rPr>
        <w:footnoteRef/>
        <w:t xml:space="preserve"> </w:t>
      </w:r>
      <w:r>
        <w:rPr/>
        <w:t xml:space="preserve"> Luc, II, 46 et suiv. ; Mischna, </w:t>
      </w:r>
      <w:r>
        <w:rPr>
          <w:i/>
        </w:rPr>
        <w:t xml:space="preserve">Sanhédrin</w:t>
      </w:r>
      <w:r>
        <w:rPr/>
        <w:t xml:space="preserve">, X, 2.</w:t>
      </w:r>
    </w:p>
  </w:footnote>
  <w:footnote w:id="605">
    <w:p>
      <w:pPr>
        <w:pStyle w:val="Notedebasdepage"/>
      </w:pPr>
      <w:r>
        <w:rPr>
          <w:rStyle w:val="Appelnotedebasdep"/>
        </w:rPr>
        <w:footnoteRef/>
        <w:t xml:space="preserve"> </w:t>
      </w:r>
      <w:r>
        <w:rPr/>
        <w:t xml:space="preserve"> Suet., </w:t>
      </w:r>
      <w:r>
        <w:rPr>
          <w:i/>
        </w:rPr>
        <w:t xml:space="preserve">Aug</w:t>
      </w:r>
      <w:r>
        <w:rPr/>
        <w:t xml:space="preserve">., 93.</w:t>
      </w:r>
    </w:p>
  </w:footnote>
  <w:footnote w:id="606">
    <w:p>
      <w:pPr>
        <w:pStyle w:val="Notedebasdepage"/>
      </w:pPr>
      <w:r>
        <w:rPr>
          <w:rStyle w:val="Appelnotedebasdep"/>
        </w:rPr>
        <w:footnoteRef/>
        <w:t xml:space="preserve"> </w:t>
      </w:r>
      <w:r>
        <w:rPr/>
        <w:t xml:space="preserve"> Philo, </w:t>
      </w:r>
      <w:r>
        <w:rPr>
          <w:i/>
        </w:rPr>
        <w:t xml:space="preserve">Legatio ad Caïum</w:t>
      </w:r>
      <w:r>
        <w:rPr/>
        <w:t xml:space="preserve">, § 31 ; Jos., </w:t>
      </w:r>
      <w:r>
        <w:rPr>
          <w:i/>
        </w:rPr>
        <w:t xml:space="preserve">B.J.</w:t>
      </w:r>
      <w:r>
        <w:rPr/>
        <w:t xml:space="preserve">, V, v, 2 ; VI, II, 4 ; </w:t>
      </w:r>
      <w:r>
        <w:rPr>
          <w:i/>
        </w:rPr>
        <w:t xml:space="preserve">Act</w:t>
      </w:r>
      <w:r>
        <w:rPr/>
        <w:t xml:space="preserve">., XXI, 28.</w:t>
      </w:r>
    </w:p>
  </w:footnote>
  <w:footnote w:id="607">
    <w:p>
      <w:pPr>
        <w:pStyle w:val="Notedebasdepage"/>
      </w:pPr>
      <w:r>
        <w:rPr>
          <w:rStyle w:val="Appelnotedebasdep"/>
        </w:rPr>
        <w:footnoteRef/>
        <w:t xml:space="preserve"> </w:t>
      </w:r>
      <w:r>
        <w:rPr/>
        <w:t xml:space="preserve">Des traces considérables de la tour Antonia se voient encore dans la partie septentrionale du haram.</w:t>
      </w:r>
    </w:p>
  </w:footnote>
  <w:footnote w:id="608">
    <w:p>
      <w:pPr>
        <w:pStyle w:val="Notedebasdepage"/>
      </w:pPr>
      <w:r>
        <w:rPr>
          <w:rStyle w:val="Appelnotedebasdep"/>
        </w:rPr>
        <w:footnoteRef/>
        <w:t xml:space="preserve"> </w:t>
      </w:r>
      <w:r>
        <w:rPr/>
        <w:t xml:space="preserve"> Mischna, </w:t>
      </w:r>
      <w:r>
        <w:rPr>
          <w:i/>
        </w:rPr>
        <w:t xml:space="preserve">Berakoth</w:t>
      </w:r>
      <w:r>
        <w:rPr/>
        <w:t xml:space="preserve">, IX, 5 ; Talm. de Babyl., </w:t>
      </w:r>
      <w:r>
        <w:rPr>
          <w:i/>
        </w:rPr>
        <w:t xml:space="preserve">Jebamoth</w:t>
      </w:r>
      <w:r>
        <w:rPr/>
        <w:t xml:space="preserve">, 6 </w:t>
      </w:r>
      <w:r>
        <w:rPr>
          <w:i/>
        </w:rPr>
        <w:t xml:space="preserve">b</w:t>
      </w:r>
      <w:r>
        <w:rPr/>
        <w:t xml:space="preserve"> ; Marc, XI, 16.</w:t>
      </w:r>
    </w:p>
  </w:footnote>
  <w:footnote w:id="609">
    <w:p>
      <w:pPr>
        <w:pStyle w:val="Notedebasdepage"/>
      </w:pPr>
      <w:r>
        <w:rPr>
          <w:rStyle w:val="Appelnotedebasdep"/>
        </w:rPr>
        <w:footnoteRef/>
        <w:t xml:space="preserve"> </w:t>
      </w:r>
      <w:r>
        <w:rPr/>
        <w:t xml:space="preserve"> Jos., </w:t>
      </w:r>
      <w:r>
        <w:rPr>
          <w:i/>
        </w:rPr>
        <w:t xml:space="preserve">B.J.</w:t>
      </w:r>
      <w:r>
        <w:rPr/>
        <w:t xml:space="preserve">, II, </w:t>
      </w:r>
      <w:r>
        <w:rPr/>
        <w:t xml:space="preserve">xiv</w:t>
      </w:r>
      <w:r>
        <w:rPr/>
        <w:t xml:space="preserve">, 3 ; VI, IX, 3. Comp. PS. CXXXIII (Vulg. CXXXII).</w:t>
      </w:r>
    </w:p>
  </w:footnote>
  <w:footnote w:id="610">
    <w:p>
      <w:pPr>
        <w:pStyle w:val="Notedebasdepage"/>
      </w:pPr>
      <w:r>
        <w:rPr>
          <w:rStyle w:val="Appelnotedebasdep"/>
        </w:rPr>
        <w:footnoteRef/>
        <w:t xml:space="preserve"> </w:t>
      </w:r>
      <w:r>
        <w:rPr/>
        <w:t xml:space="preserve">Marc, XI, 16.</w:t>
      </w:r>
    </w:p>
  </w:footnote>
  <w:footnote w:id="611">
    <w:p>
      <w:pPr>
        <w:pStyle w:val="Notedebasdepage"/>
      </w:pPr>
      <w:r>
        <w:rPr>
          <w:rStyle w:val="Appelnotedebasdep"/>
        </w:rPr>
        <w:footnoteRef/>
        <w:t xml:space="preserve"> </w:t>
      </w:r>
      <w:r>
        <w:rPr/>
        <w:t xml:space="preserve">Matth., XXI, 12 et suiv. ; Marc, XI, 15 et suiv. ; Luc, XIX, 45 et suiv. ; Jean, II, 14 et suiv.</w:t>
      </w:r>
    </w:p>
  </w:footnote>
  <w:footnote w:id="612">
    <w:p>
      <w:pPr>
        <w:pStyle w:val="Notedebasdepage"/>
      </w:pPr>
      <w:r>
        <w:rPr>
          <w:rStyle w:val="Appelnotedebasdep"/>
        </w:rPr>
        <w:footnoteRef/>
        <w:t xml:space="preserve"> </w:t>
      </w:r>
      <w:r>
        <w:rPr>
          <w:i/>
        </w:rPr>
        <w:t xml:space="preserve">Itin. a Burdig. Hierus</w:t>
      </w:r>
      <w:r>
        <w:rPr/>
        <w:t xml:space="preserve">., p. 152 (édit. Schott) ; S. Jérôme, In Is., II, 8, et in Matth., XXIV, 15.</w:t>
      </w:r>
    </w:p>
  </w:footnote>
  <w:footnote w:id="613">
    <w:p>
      <w:pPr>
        <w:pStyle w:val="Notedebasdepage"/>
      </w:pPr>
      <w:r>
        <w:rPr>
          <w:rStyle w:val="Appelnotedebasdep"/>
        </w:rPr>
        <w:footnoteRef/>
        <w:t xml:space="preserve"> </w:t>
      </w:r>
      <w:r>
        <w:rPr/>
        <w:t xml:space="preserve">Ammien Marcellin, XXIII, 1.</w:t>
      </w:r>
    </w:p>
  </w:footnote>
  <w:footnote w:id="614">
    <w:p>
      <w:pPr>
        <w:pStyle w:val="Notedebasdepage"/>
      </w:pPr>
      <w:r>
        <w:rPr>
          <w:rStyle w:val="Appelnotedebasdep"/>
        </w:rPr>
        <w:footnoteRef/>
        <w:t xml:space="preserve"> </w:t>
      </w:r>
      <w:r>
        <w:rPr/>
        <w:t xml:space="preserve"> Eutychius, </w:t>
      </w:r>
      <w:r>
        <w:rPr>
          <w:i/>
        </w:rPr>
        <w:t xml:space="preserve">Ann.</w:t>
      </w:r>
      <w:r>
        <w:rPr/>
        <w:t xml:space="preserve">, II, 286 et suiv. (Oxford, 1659).</w:t>
      </w:r>
    </w:p>
  </w:footnote>
  <w:footnote w:id="615">
    <w:p>
      <w:pPr>
        <w:pStyle w:val="Notedebasdepage"/>
      </w:pPr>
      <w:r>
        <w:rPr>
          <w:rStyle w:val="Appelnotedebasdep"/>
        </w:rPr>
        <w:footnoteRef/>
        <w:t xml:space="preserve"> </w:t>
      </w:r>
      <w:r>
        <w:rPr/>
        <w:t xml:space="preserve"> Jos., </w:t>
      </w:r>
      <w:r>
        <w:rPr>
          <w:i/>
        </w:rPr>
        <w:t xml:space="preserve">Ant</w:t>
      </w:r>
      <w:r>
        <w:rPr/>
        <w:t xml:space="preserve">., XI, </w:t>
      </w:r>
      <w:r>
        <w:rPr/>
        <w:t xml:space="preserve">iii</w:t>
      </w:r>
      <w:r>
        <w:rPr/>
        <w:t xml:space="preserve">, 1, 3.</w:t>
      </w:r>
    </w:p>
  </w:footnote>
  <w:footnote w:id="616">
    <w:p>
      <w:pPr>
        <w:pStyle w:val="Notedebasdepage"/>
      </w:pPr>
      <w:r>
        <w:rPr>
          <w:rStyle w:val="Appelnotedebasdep"/>
        </w:rPr>
        <w:footnoteRef/>
        <w:t xml:space="preserve"> </w:t>
      </w:r>
      <w:r>
        <w:rPr/>
        <w:t xml:space="preserve"> Jos., </w:t>
      </w:r>
      <w:r>
        <w:rPr>
          <w:i/>
        </w:rPr>
        <w:t xml:space="preserve">Ant</w:t>
      </w:r>
      <w:r>
        <w:rPr/>
        <w:t xml:space="preserve">., XVIII, </w:t>
      </w:r>
      <w:r>
        <w:rPr/>
        <w:t xml:space="preserve">ii</w:t>
      </w:r>
      <w:r>
        <w:rPr/>
        <w:t xml:space="preserve">.</w:t>
      </w:r>
    </w:p>
  </w:footnote>
  <w:footnote w:id="617">
    <w:p>
      <w:pPr>
        <w:pStyle w:val="Notedebasdepage"/>
      </w:pPr>
      <w:r>
        <w:rPr>
          <w:rStyle w:val="Appelnotedebasdep"/>
        </w:rPr>
        <w:footnoteRef/>
        <w:t xml:space="preserve"> </w:t>
      </w:r>
      <w:r>
        <w:rPr>
          <w:i/>
        </w:rPr>
        <w:t xml:space="preserve">Act</w:t>
      </w:r>
      <w:r>
        <w:rPr/>
        <w:t xml:space="preserve">., IV, 1 et suiv. ; V, 17 ; Jos., </w:t>
      </w:r>
      <w:r>
        <w:rPr>
          <w:i/>
        </w:rPr>
        <w:t xml:space="preserve">Ant</w:t>
      </w:r>
      <w:r>
        <w:rPr/>
        <w:t xml:space="preserve">., XX, </w:t>
      </w:r>
      <w:r>
        <w:rPr/>
        <w:t xml:space="preserve">ix</w:t>
      </w:r>
      <w:r>
        <w:rPr/>
        <w:t xml:space="preserve">, 1 ; </w:t>
      </w:r>
      <w:r>
        <w:rPr>
          <w:i/>
        </w:rPr>
        <w:t xml:space="preserve">Pirké Aboth</w:t>
      </w:r>
      <w:r>
        <w:rPr/>
        <w:t xml:space="preserve">, I, 10.</w:t>
      </w:r>
    </w:p>
  </w:footnote>
  <w:footnote w:id="618">
    <w:p>
      <w:pPr>
        <w:pStyle w:val="Notedebasdepage"/>
      </w:pPr>
      <w:r>
        <w:rPr>
          <w:rStyle w:val="Appelnotedebasdep"/>
        </w:rPr>
        <w:footnoteRef/>
        <w:t xml:space="preserve"> </w:t>
      </w:r>
      <w:r>
        <w:rPr/>
        <w:t xml:space="preserve"> Jos., </w:t>
      </w:r>
      <w:r>
        <w:rPr>
          <w:i/>
        </w:rPr>
        <w:t xml:space="preserve">Ant</w:t>
      </w:r>
      <w:r>
        <w:rPr/>
        <w:t xml:space="preserve">., XV, </w:t>
      </w:r>
      <w:r>
        <w:rPr/>
        <w:t xml:space="preserve">ix</w:t>
      </w:r>
      <w:r>
        <w:rPr/>
        <w:t xml:space="preserve">, 3 ; XVII, </w:t>
      </w:r>
      <w:r>
        <w:rPr/>
        <w:t xml:space="preserve">vi</w:t>
      </w:r>
      <w:r>
        <w:rPr/>
        <w:t xml:space="preserve">, 4 ; XIII, 1 ; XVIII, </w:t>
      </w:r>
      <w:r>
        <w:rPr/>
        <w:t xml:space="preserve">i</w:t>
      </w:r>
      <w:r>
        <w:rPr/>
        <w:t xml:space="preserve">, 1 ; II, 1 ; XIX, </w:t>
      </w:r>
      <w:r>
        <w:rPr/>
        <w:t xml:space="preserve">vi</w:t>
      </w:r>
      <w:r>
        <w:rPr/>
        <w:t xml:space="preserve">, 2 ; VIII, 1.</w:t>
      </w:r>
    </w:p>
  </w:footnote>
  <w:footnote w:id="619">
    <w:p>
      <w:pPr>
        <w:pStyle w:val="Notedebasdepage"/>
      </w:pPr>
      <w:r>
        <w:rPr>
          <w:rStyle w:val="Appelnotedebasdep"/>
        </w:rPr>
        <w:footnoteRef/>
        <w:t xml:space="preserve"> </w:t>
      </w:r>
      <w:r>
        <w:rPr/>
        <w:t xml:space="preserve"> Ce nom ne se trouve que dans les documents juifs. Je pense que les « Hérodiens » de l’Évangile sont les </w:t>
      </w:r>
      <w:r>
        <w:rPr>
          <w:i/>
        </w:rPr>
        <w:t xml:space="preserve">Boëthusim</w:t>
      </w:r>
      <w:r>
        <w:rPr/>
        <w:t xml:space="preserve">.</w:t>
      </w:r>
    </w:p>
  </w:footnote>
  <w:footnote w:id="620">
    <w:p>
      <w:pPr>
        <w:pStyle w:val="Notedebasdepage"/>
      </w:pPr>
      <w:r>
        <w:rPr>
          <w:rStyle w:val="Appelnotedebasdep"/>
        </w:rPr>
        <w:footnoteRef/>
        <w:t xml:space="preserve"> </w:t>
      </w:r>
      <w:r>
        <w:rPr/>
        <w:t xml:space="preserve"> Traité </w:t>
      </w:r>
      <w:r>
        <w:rPr>
          <w:i/>
        </w:rPr>
        <w:t xml:space="preserve">Aboth Nathan</w:t>
      </w:r>
      <w:r>
        <w:rPr/>
        <w:t xml:space="preserve">, 5 ; </w:t>
      </w:r>
      <w:r>
        <w:rPr>
          <w:i/>
        </w:rPr>
        <w:t xml:space="preserve">Soferim</w:t>
      </w:r>
      <w:r>
        <w:rPr/>
        <w:t xml:space="preserve">, III, hal. 5 ; Mischna, </w:t>
      </w:r>
      <w:r>
        <w:rPr>
          <w:i/>
        </w:rPr>
        <w:t xml:space="preserve">Menachoth</w:t>
      </w:r>
      <w:r>
        <w:rPr/>
        <w:t xml:space="preserve">, X, 3 ; Talmud de Babylone, </w:t>
      </w:r>
      <w:r>
        <w:rPr>
          <w:i/>
        </w:rPr>
        <w:t xml:space="preserve">Schabbath</w:t>
      </w:r>
      <w:r>
        <w:rPr/>
        <w:t xml:space="preserve">, 118 </w:t>
      </w:r>
      <w:r>
        <w:rPr>
          <w:i/>
        </w:rPr>
        <w:t xml:space="preserve">a</w:t>
      </w:r>
      <w:r>
        <w:rPr/>
        <w:t xml:space="preserve">. Le nom des </w:t>
      </w:r>
      <w:r>
        <w:rPr>
          <w:i/>
        </w:rPr>
        <w:t xml:space="preserve">Boëthusim</w:t>
      </w:r>
      <w:r>
        <w:rPr/>
        <w:t xml:space="preserve"> s’échange souvent dans les livres talmudiques avec celui des Sadducéens ou avec le mot </w:t>
      </w:r>
      <w:r>
        <w:rPr>
          <w:i/>
        </w:rPr>
        <w:t xml:space="preserve">Minim</w:t>
      </w:r>
      <w:r>
        <w:rPr/>
        <w:t xml:space="preserve"> (hérétiques). Comparez Thosiphta </w:t>
      </w:r>
      <w:r>
        <w:rPr>
          <w:i/>
        </w:rPr>
        <w:t xml:space="preserve">Joma</w:t>
      </w:r>
      <w:r>
        <w:rPr/>
        <w:t xml:space="preserve">, I, à Talm. de Jérus., même traité, I, 5, et Talm. de Bab., même traité, 19 </w:t>
      </w:r>
      <w:r>
        <w:rPr>
          <w:i/>
        </w:rPr>
        <w:t xml:space="preserve">b</w:t>
      </w:r>
      <w:r>
        <w:rPr/>
        <w:t xml:space="preserve"> ; Thos. </w:t>
      </w:r>
      <w:r>
        <w:rPr>
          <w:i/>
        </w:rPr>
        <w:t xml:space="preserve">Sukka</w:t>
      </w:r>
      <w:r>
        <w:rPr/>
        <w:t xml:space="preserve">, III, à Talm. de Bab., même traité, 43 </w:t>
      </w:r>
      <w:r>
        <w:rPr>
          <w:i/>
        </w:rPr>
        <w:t xml:space="preserve">b</w:t>
      </w:r>
      <w:r>
        <w:rPr/>
        <w:t xml:space="preserve"> ; Thos. </w:t>
      </w:r>
      <w:r>
        <w:rPr>
          <w:i/>
        </w:rPr>
        <w:t xml:space="preserve">ibid.</w:t>
      </w:r>
      <w:r>
        <w:rPr/>
        <w:t xml:space="preserve">, plus loin, à Talm. de Bab., même traité, 48 </w:t>
      </w:r>
      <w:r>
        <w:rPr>
          <w:i/>
        </w:rPr>
        <w:t xml:space="preserve">b</w:t>
      </w:r>
      <w:r>
        <w:rPr/>
        <w:t xml:space="preserve"> ; Thos. </w:t>
      </w:r>
      <w:r>
        <w:rPr>
          <w:i/>
        </w:rPr>
        <w:t xml:space="preserve">Rosch hasschana</w:t>
      </w:r>
      <w:r>
        <w:rPr/>
        <w:t xml:space="preserve">, I, à Mischna, même traité, II, 1, Talm. de Jérus., même traité, II, 1, et Talm. de Bab., même, traité, 22 </w:t>
      </w:r>
      <w:r>
        <w:rPr>
          <w:i/>
        </w:rPr>
        <w:t xml:space="preserve">b</w:t>
      </w:r>
      <w:r>
        <w:rPr/>
        <w:t xml:space="preserve"> ; Thos. </w:t>
      </w:r>
      <w:r>
        <w:rPr>
          <w:i/>
        </w:rPr>
        <w:t xml:space="preserve">Menachoth</w:t>
      </w:r>
      <w:r>
        <w:rPr/>
        <w:t xml:space="preserve">, X, à Mischna, même traité, X, 3, Talm. de Bab., même traité, 65 </w:t>
      </w:r>
      <w:r>
        <w:rPr>
          <w:i/>
        </w:rPr>
        <w:t xml:space="preserve">a</w:t>
      </w:r>
      <w:r>
        <w:rPr/>
        <w:t xml:space="preserve">, Mischna, </w:t>
      </w:r>
      <w:r>
        <w:rPr>
          <w:i/>
        </w:rPr>
        <w:t xml:space="preserve">Chagiga</w:t>
      </w:r>
      <w:r>
        <w:rPr/>
        <w:t xml:space="preserve">, II, 4, et Megillath Taanith, I ; Thos. </w:t>
      </w:r>
      <w:r>
        <w:rPr>
          <w:i/>
        </w:rPr>
        <w:t xml:space="preserve">Iadaïm</w:t>
      </w:r>
      <w:r>
        <w:rPr/>
        <w:t xml:space="preserve">, II, à Talm. de Jérus., </w:t>
      </w:r>
      <w:r>
        <w:rPr>
          <w:i/>
        </w:rPr>
        <w:t xml:space="preserve">Baba Bathra</w:t>
      </w:r>
      <w:r>
        <w:rPr/>
        <w:t xml:space="preserve">, VIII, 1, Talm. de Bab., même traité, 115 </w:t>
      </w:r>
      <w:r>
        <w:rPr>
          <w:i/>
        </w:rPr>
        <w:t xml:space="preserve">b</w:t>
      </w:r>
      <w:r>
        <w:rPr/>
        <w:t xml:space="preserve">, et Megillath Taanith, V.</w:t>
      </w:r>
    </w:p>
  </w:footnote>
  <w:footnote w:id="621">
    <w:p>
      <w:pPr>
        <w:pStyle w:val="Notedebasdepage"/>
      </w:pPr>
      <w:r>
        <w:rPr>
          <w:rStyle w:val="Appelnotedebasdep"/>
        </w:rPr>
        <w:footnoteRef/>
        <w:t xml:space="preserve"> </w:t>
      </w:r>
      <w:r>
        <w:rPr/>
        <w:t xml:space="preserve"> Il semble qu’il est question de lui dans le Talmud. Talm. de Bab., </w:t>
      </w:r>
      <w:r>
        <w:rPr>
          <w:i/>
        </w:rPr>
        <w:t xml:space="preserve">Taanith</w:t>
      </w:r>
      <w:r>
        <w:rPr/>
        <w:t xml:space="preserve">., 20 </w:t>
      </w:r>
      <w:r>
        <w:rPr>
          <w:i/>
        </w:rPr>
        <w:t xml:space="preserve">a ; Gittin</w:t>
      </w:r>
      <w:r>
        <w:rPr/>
        <w:t xml:space="preserve">., 56 </w:t>
      </w:r>
      <w:r>
        <w:rPr>
          <w:i/>
        </w:rPr>
        <w:t xml:space="preserve">a ; Ketuboth</w:t>
      </w:r>
      <w:r>
        <w:rPr/>
        <w:t xml:space="preserve">, 66 </w:t>
      </w:r>
      <w:r>
        <w:rPr>
          <w:i/>
        </w:rPr>
        <w:t xml:space="preserve">b</w:t>
      </w:r>
      <w:r>
        <w:rPr/>
        <w:t xml:space="preserve"> ; traité </w:t>
      </w:r>
      <w:r>
        <w:rPr>
          <w:i/>
        </w:rPr>
        <w:t xml:space="preserve">Aboth Nathan</w:t>
      </w:r>
      <w:r>
        <w:rPr/>
        <w:t xml:space="preserve">, VII ; Midrasch rabba, </w:t>
      </w:r>
      <w:r>
        <w:rPr>
          <w:i/>
        </w:rPr>
        <w:t xml:space="preserve">Eka</w:t>
      </w:r>
      <w:r>
        <w:rPr/>
        <w:t xml:space="preserve">, 64 </w:t>
      </w:r>
      <w:r>
        <w:rPr>
          <w:i/>
        </w:rPr>
        <w:t xml:space="preserve">a</w:t>
      </w:r>
      <w:r>
        <w:rPr/>
        <w:t xml:space="preserve">. Le passage </w:t>
      </w:r>
      <w:r>
        <w:rPr>
          <w:i/>
        </w:rPr>
        <w:t xml:space="preserve">Taanith</w:t>
      </w:r>
      <w:r>
        <w:rPr/>
        <w:t xml:space="preserve"> l’identifie avec Bounaï, lequel, d’après </w:t>
      </w:r>
      <w:r>
        <w:rPr>
          <w:i/>
        </w:rPr>
        <w:t xml:space="preserve">Sanhédrin</w:t>
      </w:r>
      <w:r>
        <w:rPr/>
        <w:t xml:space="preserve"> (v. ci-dessus, p. 203, note 3), était disciple de Jésus. Mais si Bounaï est le Banou de Josèphe, ce rapprochement est sans force.</w:t>
      </w:r>
    </w:p>
  </w:footnote>
  <w:footnote w:id="622">
    <w:p>
      <w:pPr>
        <w:pStyle w:val="Notedebasdepage"/>
      </w:pPr>
      <w:r>
        <w:rPr>
          <w:rStyle w:val="Appelnotedebasdep"/>
        </w:rPr>
        <w:footnoteRef/>
        <w:t xml:space="preserve"> </w:t>
      </w:r>
      <w:r>
        <w:rPr/>
        <w:t xml:space="preserve">Jean, III, 1 et suiv. ; VII, 50. On est certes libre de croire que le texte même de la conversation n’est qu’une création de Jean.</w:t>
      </w:r>
    </w:p>
  </w:footnote>
  <w:footnote w:id="623">
    <w:p>
      <w:pPr>
        <w:pStyle w:val="Notedebasdepage"/>
      </w:pPr>
      <w:r>
        <w:rPr>
          <w:rStyle w:val="Appelnotedebasdep"/>
        </w:rPr>
        <w:footnoteRef/>
        <w:t xml:space="preserve"> </w:t>
      </w:r>
      <w:r>
        <w:rPr/>
        <w:t xml:space="preserve">Jean, VII, 50 et suiv.</w:t>
      </w:r>
    </w:p>
  </w:footnote>
  <w:footnote w:id="624">
    <w:p>
      <w:pPr>
        <w:pStyle w:val="Notedebasdepage"/>
      </w:pPr>
      <w:r>
        <w:rPr>
          <w:rStyle w:val="Appelnotedebasdep"/>
        </w:rPr>
        <w:footnoteRef/>
        <w:t xml:space="preserve"> </w:t>
      </w:r>
      <w:r>
        <w:rPr/>
        <w:t xml:space="preserve">Jean, XIX, 39.</w:t>
      </w:r>
    </w:p>
  </w:footnote>
  <w:footnote w:id="625">
    <w:p>
      <w:pPr>
        <w:pStyle w:val="Notedebasdepage"/>
      </w:pPr>
      <w:r>
        <w:rPr>
          <w:rStyle w:val="Appelnotedebasdep"/>
        </w:rPr>
        <w:footnoteRef/>
        <w:t xml:space="preserve"> </w:t>
      </w:r>
      <w:r>
        <w:rPr/>
        <w:t xml:space="preserve"> Mischna, </w:t>
      </w:r>
      <w:r>
        <w:rPr>
          <w:i/>
        </w:rPr>
        <w:t xml:space="preserve">Baba metsia</w:t>
      </w:r>
      <w:r>
        <w:rPr/>
        <w:t xml:space="preserve">, V, 8 ; Talm. de Bab., </w:t>
      </w:r>
      <w:r>
        <w:rPr>
          <w:i/>
        </w:rPr>
        <w:t xml:space="preserve">Sota</w:t>
      </w:r>
      <w:r>
        <w:rPr/>
        <w:t xml:space="preserve">, 49 </w:t>
      </w:r>
      <w:r>
        <w:rPr>
          <w:i/>
        </w:rPr>
        <w:t xml:space="preserve">b</w:t>
      </w:r>
      <w:r>
        <w:rPr/>
        <w:t xml:space="preserve">.</w:t>
      </w:r>
    </w:p>
  </w:footnote>
  <w:footnote w:id="626">
    <w:p>
      <w:pPr>
        <w:pStyle w:val="Notedebasdepage"/>
      </w:pPr>
      <w:r>
        <w:rPr>
          <w:rStyle w:val="Appelnotedebasdep"/>
        </w:rPr>
        <w:footnoteRef/>
        <w:t xml:space="preserve"> </w:t>
      </w:r>
      <w:r>
        <w:rPr/>
        <w:t xml:space="preserve"> Talm. de Jérus., </w:t>
      </w:r>
      <w:r>
        <w:rPr>
          <w:i/>
        </w:rPr>
        <w:t xml:space="preserve">Berakoth</w:t>
      </w:r>
      <w:r>
        <w:rPr/>
        <w:t xml:space="preserve">, IX, 2.</w:t>
      </w:r>
    </w:p>
  </w:footnote>
  <w:footnote w:id="627">
    <w:p>
      <w:pPr>
        <w:pStyle w:val="Notedebasdepage"/>
      </w:pPr>
      <w:r>
        <w:rPr>
          <w:rStyle w:val="Appelnotedebasdep"/>
        </w:rPr>
        <w:footnoteRef/>
        <w:t xml:space="preserve"> </w:t>
      </w:r>
      <w:r>
        <w:rPr/>
        <w:t xml:space="preserve"> Passage </w:t>
      </w:r>
      <w:r>
        <w:rPr>
          <w:i/>
        </w:rPr>
        <w:t xml:space="preserve">Sota</w:t>
      </w:r>
      <w:r>
        <w:rPr/>
        <w:t xml:space="preserve">, précité, et </w:t>
      </w:r>
      <w:r>
        <w:rPr>
          <w:i/>
        </w:rPr>
        <w:t xml:space="preserve">Baba Kama</w:t>
      </w:r>
      <w:r>
        <w:rPr/>
        <w:t xml:space="preserve">, 83 </w:t>
      </w:r>
      <w:r>
        <w:rPr>
          <w:i/>
        </w:rPr>
        <w:t xml:space="preserve">a</w:t>
      </w:r>
      <w:r>
        <w:rPr/>
        <w:t xml:space="preserve">.</w:t>
      </w:r>
    </w:p>
  </w:footnote>
  <w:footnote w:id="628">
    <w:p>
      <w:pPr>
        <w:pStyle w:val="Notedebasdepage"/>
      </w:pPr>
      <w:r>
        <w:rPr>
          <w:rStyle w:val="Appelnotedebasdep"/>
        </w:rPr>
        <w:footnoteRef/>
        <w:t xml:space="preserve"> </w:t>
      </w:r>
      <w:r>
        <w:rPr>
          <w:i/>
        </w:rPr>
        <w:t xml:space="preserve">Act</w:t>
      </w:r>
      <w:r>
        <w:rPr/>
        <w:t xml:space="preserve">., V, 34 et suiv.</w:t>
      </w:r>
    </w:p>
  </w:footnote>
  <w:footnote w:id="629">
    <w:p>
      <w:pPr>
        <w:pStyle w:val="Notedebasdepage"/>
      </w:pPr>
      <w:r>
        <w:rPr>
          <w:rStyle w:val="Appelnotedebasdep"/>
        </w:rPr>
        <w:footnoteRef/>
        <w:t xml:space="preserve"> </w:t>
      </w:r>
      <w:r>
        <w:rPr>
          <w:i/>
        </w:rPr>
        <w:t xml:space="preserve">Act</w:t>
      </w:r>
      <w:r>
        <w:rPr/>
        <w:t xml:space="preserve">., XXII, 3.</w:t>
      </w:r>
    </w:p>
  </w:footnote>
  <w:footnote w:id="630">
    <w:p>
      <w:pPr>
        <w:pStyle w:val="Notedebasdepage"/>
      </w:pPr>
      <w:r>
        <w:rPr>
          <w:rStyle w:val="Appelnotedebasdep"/>
        </w:rPr>
        <w:footnoteRef/>
        <w:t xml:space="preserve"> </w:t>
      </w:r>
      <w:r>
        <w:rPr>
          <w:i/>
        </w:rPr>
        <w:t xml:space="preserve">Orac. sib</w:t>
      </w:r>
      <w:r>
        <w:rPr/>
        <w:t xml:space="preserve">., 1. III, 573 et suiv. ; 715 et suiv. ; 756-58. Comparez le Targum de Jonathan, Is., XII, 3.</w:t>
      </w:r>
    </w:p>
  </w:footnote>
  <w:footnote w:id="631">
    <w:p>
      <w:pPr>
        <w:pStyle w:val="Notedebasdepage"/>
      </w:pPr>
      <w:r>
        <w:rPr>
          <w:rStyle w:val="Appelnotedebasdep"/>
        </w:rPr>
        <w:footnoteRef/>
        <w:t xml:space="preserve"> </w:t>
      </w:r>
      <w:r>
        <w:rPr/>
        <w:t xml:space="preserve">Luc, XVI, 16. Le passage de Matthieu, XXI, 12-13, est moins clair, mais ne peut avoir d’autre sens.</w:t>
      </w:r>
    </w:p>
  </w:footnote>
  <w:footnote w:id="632">
    <w:p>
      <w:pPr>
        <w:pStyle w:val="Notedebasdepage"/>
      </w:pPr>
      <w:r>
        <w:rPr>
          <w:rStyle w:val="Appelnotedebasdep"/>
        </w:rPr>
        <w:footnoteRef/>
        <w:t xml:space="preserve"> </w:t>
      </w:r>
      <w:r>
        <w:rPr/>
        <w:t xml:space="preserve"> Matth., V, 17-18 (Cf. Talm. de Bab., </w:t>
      </w:r>
      <w:r>
        <w:rPr>
          <w:i/>
        </w:rPr>
        <w:t xml:space="preserve">Schabbath</w:t>
      </w:r>
      <w:r>
        <w:rPr/>
        <w:t xml:space="preserve">, l. 16 </w:t>
      </w:r>
      <w:r>
        <w:rPr>
          <w:i/>
        </w:rPr>
        <w:t xml:space="preserve">b</w:t>
      </w:r>
      <w:r>
        <w:rPr/>
        <w:t xml:space="preserve">). Ce passage n’est pas en contradiction avec ceux où l’abolition de la Loi est impliquée. Il signifie seulement qu’en Jésus toutes les figures de l’Ancien Testament sont accomplies. Cf. Luc, XVI, 17.</w:t>
      </w:r>
    </w:p>
  </w:footnote>
  <w:footnote w:id="633">
    <w:p>
      <w:pPr>
        <w:pStyle w:val="Notedebasdepage"/>
      </w:pPr>
      <w:r>
        <w:rPr>
          <w:rStyle w:val="Appelnotedebasdep"/>
        </w:rPr>
        <w:footnoteRef/>
        <w:t xml:space="preserve"> </w:t>
      </w:r>
      <w:r>
        <w:rPr/>
        <w:t xml:space="preserve">Matth., IX, 16-17 ; Luc, V, 36 et suiv.</w:t>
      </w:r>
    </w:p>
  </w:footnote>
  <w:footnote w:id="634">
    <w:p>
      <w:pPr>
        <w:pStyle w:val="Notedebasdepage"/>
      </w:pPr>
      <w:r>
        <w:rPr>
          <w:rStyle w:val="Appelnotedebasdep"/>
        </w:rPr>
        <w:footnoteRef/>
        <w:t xml:space="preserve"> </w:t>
      </w:r>
      <w:r>
        <w:rPr/>
        <w:t xml:space="preserve">Luc, XIX, 9.</w:t>
      </w:r>
    </w:p>
  </w:footnote>
  <w:footnote w:id="635">
    <w:p>
      <w:pPr>
        <w:pStyle w:val="Notedebasdepage"/>
      </w:pPr>
      <w:r>
        <w:rPr>
          <w:rStyle w:val="Appelnotedebasdep"/>
        </w:rPr>
        <w:footnoteRef/>
        <w:t xml:space="preserve"> </w:t>
      </w:r>
      <w:r>
        <w:rPr/>
        <w:t xml:space="preserve">Matth., XXIV, 14 ; XXVIII, 19 ; Marc, XIII, 10 ; XVI, 15 ; Luc, XXIV, 47.</w:t>
      </w:r>
    </w:p>
  </w:footnote>
  <w:footnote w:id="636">
    <w:p>
      <w:pPr>
        <w:pStyle w:val="Notedebasdepage"/>
      </w:pPr>
      <w:r>
        <w:rPr>
          <w:rStyle w:val="Appelnotedebasdep"/>
        </w:rPr>
        <w:footnoteRef/>
        <w:t xml:space="preserve"> </w:t>
      </w:r>
      <w:r>
        <w:rPr/>
        <w:t xml:space="preserve">Matth., XV, 9.</w:t>
      </w:r>
    </w:p>
  </w:footnote>
  <w:footnote w:id="637">
    <w:p>
      <w:pPr>
        <w:pStyle w:val="Notedebasdepage"/>
      </w:pPr>
      <w:r>
        <w:rPr>
          <w:rStyle w:val="Appelnotedebasdep"/>
        </w:rPr>
        <w:footnoteRef/>
        <w:t xml:space="preserve"> </w:t>
      </w:r>
      <w:r>
        <w:rPr/>
        <w:t xml:space="preserve">Matth., IX, 14 ; XI, 19.</w:t>
      </w:r>
    </w:p>
  </w:footnote>
  <w:footnote w:id="638">
    <w:p>
      <w:pPr>
        <w:pStyle w:val="Notedebasdepage"/>
      </w:pPr>
      <w:r>
        <w:rPr>
          <w:rStyle w:val="Appelnotedebasdep"/>
        </w:rPr>
        <w:footnoteRef/>
        <w:t xml:space="preserve"> </w:t>
      </w:r>
      <w:r>
        <w:rPr/>
        <w:t xml:space="preserve">Matth., V, 23 et suiv. ; IX, 13 ; XII, 7.</w:t>
      </w:r>
    </w:p>
  </w:footnote>
  <w:footnote w:id="639">
    <w:p>
      <w:pPr>
        <w:pStyle w:val="Notedebasdepage"/>
      </w:pPr>
      <w:r>
        <w:rPr>
          <w:rStyle w:val="Appelnotedebasdep"/>
        </w:rPr>
        <w:footnoteRef/>
        <w:t xml:space="preserve"> </w:t>
      </w:r>
      <w:r>
        <w:rPr/>
        <w:t xml:space="preserve">Matth., XXII, 37 et suiv. ; Marc, XII, 28 et suiv. ; Luc, X, 25 et suiv.</w:t>
      </w:r>
    </w:p>
  </w:footnote>
  <w:footnote w:id="640">
    <w:p>
      <w:pPr>
        <w:pStyle w:val="Notedebasdepage"/>
      </w:pPr>
      <w:r>
        <w:rPr>
          <w:rStyle w:val="Appelnotedebasdep"/>
        </w:rPr>
        <w:footnoteRef/>
        <w:t xml:space="preserve"> </w:t>
      </w:r>
      <w:r>
        <w:rPr/>
        <w:t xml:space="preserve"> Matth., III, 15 ; I Cor., </w:t>
      </w:r>
      <w:r>
        <w:rPr/>
        <w:t xml:space="preserve">i</w:t>
      </w:r>
      <w:r>
        <w:rPr/>
        <w:t xml:space="preserve">, 17.</w:t>
      </w:r>
    </w:p>
  </w:footnote>
  <w:footnote w:id="641">
    <w:p>
      <w:pPr>
        <w:pStyle w:val="Notedebasdepage"/>
      </w:pPr>
      <w:r>
        <w:rPr>
          <w:rStyle w:val="Appelnotedebasdep"/>
        </w:rPr>
        <w:footnoteRef/>
        <w:t xml:space="preserve"> </w:t>
      </w:r>
      <w:r>
        <w:rPr/>
        <w:t xml:space="preserve">Matth., VII, 21 ; Luc, VI, 46.</w:t>
      </w:r>
    </w:p>
  </w:footnote>
  <w:footnote w:id="642">
    <w:p>
      <w:pPr>
        <w:pStyle w:val="Notedebasdepage"/>
      </w:pPr>
      <w:r>
        <w:rPr>
          <w:rStyle w:val="Appelnotedebasdep"/>
        </w:rPr>
        <w:footnoteRef/>
        <w:t xml:space="preserve"> </w:t>
      </w:r>
      <w:r>
        <w:rPr/>
        <w:t xml:space="preserve"> Matth., XV, 8 ; Marc, VII, 6. Cf. Isaïe, XXIX, 13.</w:t>
      </w:r>
    </w:p>
  </w:footnote>
  <w:footnote w:id="643">
    <w:p>
      <w:pPr>
        <w:pStyle w:val="Notedebasdepage"/>
      </w:pPr>
      <w:r>
        <w:rPr>
          <w:rStyle w:val="Appelnotedebasdep"/>
        </w:rPr>
        <w:footnoteRef/>
        <w:t xml:space="preserve"> </w:t>
      </w:r>
      <w:r>
        <w:rPr/>
        <w:t xml:space="preserve"> Voir surtout le traité </w:t>
      </w:r>
      <w:r>
        <w:rPr>
          <w:i/>
        </w:rPr>
        <w:t xml:space="preserve">Schabbath</w:t>
      </w:r>
      <w:r>
        <w:rPr/>
        <w:t xml:space="preserve"> de la Mischna, et le </w:t>
      </w:r>
      <w:r>
        <w:rPr>
          <w:i/>
        </w:rPr>
        <w:t xml:space="preserve">Livre des Jubilés</w:t>
      </w:r>
      <w:r>
        <w:rPr/>
        <w:t xml:space="preserve"> (traduit de l’éthiopien dans les </w:t>
      </w:r>
      <w:r>
        <w:rPr>
          <w:i/>
        </w:rPr>
        <w:t xml:space="preserve">Jahrbücher</w:t>
      </w:r>
      <w:r>
        <w:rPr/>
        <w:t xml:space="preserve"> d’Ewald, années 2 et 3), c. L.</w:t>
      </w:r>
    </w:p>
  </w:footnote>
  <w:footnote w:id="644">
    <w:p>
      <w:pPr>
        <w:pStyle w:val="Notedebasdepage"/>
      </w:pPr>
      <w:r>
        <w:rPr>
          <w:rStyle w:val="Appelnotedebasdep"/>
        </w:rPr>
        <w:footnoteRef/>
        <w:t xml:space="preserve"> </w:t>
      </w:r>
      <w:r>
        <w:rPr/>
        <w:t xml:space="preserve"> Jos., </w:t>
      </w:r>
      <w:r>
        <w:rPr>
          <w:i/>
        </w:rPr>
        <w:t xml:space="preserve">B.J.</w:t>
      </w:r>
      <w:r>
        <w:rPr/>
        <w:t xml:space="preserve">, VII, v, 4 ; Pline, </w:t>
      </w:r>
      <w:r>
        <w:rPr>
          <w:i/>
        </w:rPr>
        <w:t xml:space="preserve">H. N.</w:t>
      </w:r>
      <w:r>
        <w:rPr/>
        <w:t xml:space="preserve">, XXXI, 18. Cf. Thomson, </w:t>
      </w:r>
      <w:r>
        <w:rPr>
          <w:i/>
        </w:rPr>
        <w:t xml:space="preserve">The Land and the Book</w:t>
      </w:r>
      <w:r>
        <w:rPr/>
        <w:t xml:space="preserve">, I, 406 et suiv.</w:t>
      </w:r>
    </w:p>
  </w:footnote>
  <w:footnote w:id="645">
    <w:p>
      <w:pPr>
        <w:pStyle w:val="Notedebasdepage"/>
      </w:pPr>
      <w:r>
        <w:rPr>
          <w:rStyle w:val="Appelnotedebasdep"/>
        </w:rPr>
        <w:footnoteRef/>
        <w:t xml:space="preserve"> </w:t>
      </w:r>
      <w:r>
        <w:rPr/>
        <w:t xml:space="preserve">Matth., XII, 1-14 ; Marc, II, 23-28 ; Luc, VI, 1-5 ; XIII, 14 et suiv. ; XIV, 1 et suiv.</w:t>
      </w:r>
    </w:p>
  </w:footnote>
  <w:footnote w:id="646">
    <w:p>
      <w:pPr>
        <w:pStyle w:val="Notedebasdepage"/>
      </w:pPr>
      <w:r>
        <w:rPr>
          <w:rStyle w:val="Appelnotedebasdep"/>
        </w:rPr>
        <w:footnoteRef/>
        <w:t xml:space="preserve"> </w:t>
      </w:r>
      <w:r>
        <w:rPr/>
        <w:t xml:space="preserve">Matth., XII, 34 ; XV, 1 et suiv., 12 et suiv. ; XXIII entier ; Marc, VII, 1 et suiv., 15 et suiv. ; Luc, VI, 43 ; XI, 39 et suiv.</w:t>
      </w:r>
    </w:p>
  </w:footnote>
  <w:footnote w:id="647">
    <w:p>
      <w:pPr>
        <w:pStyle w:val="Notedebasdepage"/>
      </w:pPr>
      <w:r>
        <w:rPr>
          <w:rStyle w:val="Appelnotedebasdep"/>
        </w:rPr>
        <w:footnoteRef/>
        <w:t xml:space="preserve"> </w:t>
      </w:r>
      <w:r>
        <w:rPr/>
        <w:t xml:space="preserve">Je crois que les païens de Galilée se trouvaient surtout aux frontières, à Kadès, par exemple, mais que le cœur même du pays, la ville de Tibériade exceptée, était tout juif. La ligne où finissent les ruines de temples et où commencent les ruines de synagogues est aujourd’hui nettement marquée à la hauteur du lac Huleh (Samachonitis). Les traces de sculpture païenne qu’on a cru trouver à Tell-Hum sont douteuses. La côte, en particulier la ville d’Acre, ne faisaient point partie de la Galilée.</w:t>
      </w:r>
    </w:p>
  </w:footnote>
  <w:footnote w:id="648">
    <w:p>
      <w:pPr>
        <w:pStyle w:val="Notedebasdepage"/>
      </w:pPr>
      <w:r>
        <w:rPr>
          <w:rStyle w:val="Appelnotedebasdep"/>
        </w:rPr>
        <w:footnoteRef/>
        <w:t xml:space="preserve"> </w:t>
      </w:r>
      <w:r>
        <w:rPr/>
        <w:t xml:space="preserve">Voir ci-dessus, p. 146-147.</w:t>
      </w:r>
    </w:p>
  </w:footnote>
  <w:footnote w:id="649">
    <w:p>
      <w:pPr>
        <w:pStyle w:val="Notedebasdepage"/>
      </w:pPr>
      <w:r>
        <w:rPr>
          <w:rStyle w:val="Appelnotedebasdep"/>
        </w:rPr>
        <w:footnoteRef/>
        <w:t xml:space="preserve"> </w:t>
      </w:r>
      <w:r>
        <w:rPr/>
        <w:t xml:space="preserve">Chap. XIII et suiv.</w:t>
      </w:r>
    </w:p>
  </w:footnote>
  <w:footnote w:id="650">
    <w:p>
      <w:pPr>
        <w:pStyle w:val="Notedebasdepage"/>
      </w:pPr>
      <w:r>
        <w:rPr>
          <w:rStyle w:val="Appelnotedebasdep"/>
        </w:rPr>
        <w:footnoteRef/>
        <w:t xml:space="preserve"> </w:t>
      </w:r>
      <w:r>
        <w:rPr/>
        <w:t xml:space="preserve">Matth., XX, 25 ; Marc, X, 42 ; Luc, XXII, 25.</w:t>
      </w:r>
    </w:p>
  </w:footnote>
  <w:footnote w:id="651">
    <w:p>
      <w:pPr>
        <w:pStyle w:val="Notedebasdepage"/>
      </w:pPr>
      <w:r>
        <w:rPr>
          <w:rStyle w:val="Appelnotedebasdep"/>
        </w:rPr>
        <w:footnoteRef/>
        <w:t xml:space="preserve"> </w:t>
      </w:r>
      <w:r>
        <w:rPr/>
        <w:t xml:space="preserve">Matth., VIII, 5 et suiv. ; XV, 22 et suiv. ; Marc, VII, 25 et suiv. ; Luc, IV, 25 et suiv.</w:t>
      </w:r>
    </w:p>
  </w:footnote>
  <w:footnote w:id="652">
    <w:p>
      <w:pPr>
        <w:pStyle w:val="Notedebasdepage"/>
      </w:pPr>
      <w:r>
        <w:rPr>
          <w:rStyle w:val="Appelnotedebasdep"/>
        </w:rPr>
        <w:footnoteRef/>
        <w:t xml:space="preserve"> </w:t>
      </w:r>
      <w:r>
        <w:rPr/>
        <w:t xml:space="preserve">Matth., XXI, 41 ; Marc, XII, 9 ; Luc, XX, 16.</w:t>
      </w:r>
    </w:p>
  </w:footnote>
  <w:footnote w:id="653">
    <w:p>
      <w:pPr>
        <w:pStyle w:val="Notedebasdepage"/>
      </w:pPr>
      <w:r>
        <w:rPr>
          <w:rStyle w:val="Appelnotedebasdep"/>
        </w:rPr>
        <w:footnoteRef/>
        <w:t xml:space="preserve"> </w:t>
      </w:r>
      <w:r>
        <w:rPr/>
        <w:t xml:space="preserve"> Is., II, 2 et suiv. ; LX ; Amos, IX, 11 et suiv. ; Jérém., III, 17 ; Malach., </w:t>
      </w:r>
      <w:r>
        <w:rPr/>
        <w:t xml:space="preserve">i</w:t>
      </w:r>
      <w:r>
        <w:rPr/>
        <w:t xml:space="preserve">, 11 ; </w:t>
      </w:r>
      <w:r>
        <w:rPr>
          <w:i/>
        </w:rPr>
        <w:t xml:space="preserve">Tobie</w:t>
      </w:r>
      <w:r>
        <w:rPr/>
        <w:t xml:space="preserve">, XIII, 13 et suiv. ; </w:t>
      </w:r>
      <w:r>
        <w:rPr>
          <w:i/>
        </w:rPr>
        <w:t xml:space="preserve">Orac. sibyl.</w:t>
      </w:r>
      <w:r>
        <w:rPr/>
        <w:t xml:space="preserve">, III, 715 et suiv. Comp. Matth., XXIV, 14 ; </w:t>
      </w:r>
      <w:r>
        <w:rPr>
          <w:i/>
        </w:rPr>
        <w:t xml:space="preserve">Act.</w:t>
      </w:r>
      <w:r>
        <w:rPr/>
        <w:t xml:space="preserve">, XV, 13 et suiv.</w:t>
      </w:r>
    </w:p>
  </w:footnote>
  <w:footnote w:id="654">
    <w:p>
      <w:pPr>
        <w:pStyle w:val="Notedebasdepage"/>
      </w:pPr>
      <w:r>
        <w:rPr>
          <w:rStyle w:val="Appelnotedebasdep"/>
        </w:rPr>
        <w:footnoteRef/>
        <w:t xml:space="preserve"> </w:t>
      </w:r>
      <w:r>
        <w:rPr/>
        <w:t xml:space="preserve">Matth., VIII, 11-12 ; XXI, 33 et suiv. ; XXII, 1 et suiv.</w:t>
      </w:r>
    </w:p>
  </w:footnote>
  <w:footnote w:id="655">
    <w:p>
      <w:pPr>
        <w:pStyle w:val="Notedebasdepage"/>
      </w:pPr>
      <w:r>
        <w:rPr>
          <w:rStyle w:val="Appelnotedebasdep"/>
        </w:rPr>
        <w:footnoteRef/>
        <w:t xml:space="preserve"> </w:t>
      </w:r>
      <w:r>
        <w:rPr/>
        <w:t xml:space="preserve">Matth., VII, 6 ; X, 5-6 ; XV, 24 ; XXI, 43.</w:t>
      </w:r>
    </w:p>
  </w:footnote>
  <w:footnote w:id="656">
    <w:p>
      <w:pPr>
        <w:pStyle w:val="Notedebasdepage"/>
      </w:pPr>
      <w:r>
        <w:rPr>
          <w:rStyle w:val="Appelnotedebasdep"/>
        </w:rPr>
        <w:footnoteRef/>
        <w:t xml:space="preserve"> </w:t>
      </w:r>
      <w:r>
        <w:rPr/>
        <w:t xml:space="preserve">Matth., V, 46 et suiv. ; VI, 7, 32 ; XVIII, 17 ; Luc, VI, 32 et suiv. ; XII, 30.</w:t>
      </w:r>
    </w:p>
  </w:footnote>
  <w:footnote w:id="657">
    <w:p>
      <w:pPr>
        <w:pStyle w:val="Notedebasdepage"/>
      </w:pPr>
      <w:r>
        <w:rPr>
          <w:rStyle w:val="Appelnotedebasdep"/>
        </w:rPr>
        <w:footnoteRef/>
        <w:t xml:space="preserve"> </w:t>
      </w:r>
      <w:r>
        <w:rPr/>
        <w:t xml:space="preserve">Matth., XII, 30 ; Marc, IX, 39 ; Luc, IX, 50 ; XI, 23.</w:t>
      </w:r>
    </w:p>
  </w:footnote>
  <w:footnote w:id="658">
    <w:p>
      <w:pPr>
        <w:pStyle w:val="Notedebasdepage"/>
      </w:pPr>
      <w:r>
        <w:rPr>
          <w:rStyle w:val="Appelnotedebasdep"/>
        </w:rPr>
        <w:footnoteRef/>
        <w:t xml:space="preserve"> </w:t>
      </w:r>
      <w:r>
        <w:rPr/>
        <w:t xml:space="preserve"> Josèphe le dit formellement (</w:t>
      </w:r>
      <w:r>
        <w:rPr>
          <w:i/>
        </w:rPr>
        <w:t xml:space="preserve">Ant.</w:t>
      </w:r>
      <w:r>
        <w:rPr/>
        <w:t xml:space="preserve">, XVIII, </w:t>
      </w:r>
      <w:r>
        <w:rPr/>
        <w:t xml:space="preserve">iii</w:t>
      </w:r>
      <w:r>
        <w:rPr/>
        <w:t xml:space="preserve">, 3). Comp. Jean, VII, 35 ; XII, 20-21.</w:t>
      </w:r>
    </w:p>
  </w:footnote>
  <w:footnote w:id="659">
    <w:p>
      <w:pPr>
        <w:pStyle w:val="Notedebasdepage"/>
      </w:pPr>
      <w:r>
        <w:rPr>
          <w:rStyle w:val="Appelnotedebasdep"/>
        </w:rPr>
        <w:footnoteRef/>
        <w:t xml:space="preserve"> </w:t>
      </w:r>
      <w:r>
        <w:rPr/>
        <w:t xml:space="preserve"> Talm. de Jérus., </w:t>
      </w:r>
      <w:r>
        <w:rPr>
          <w:i/>
        </w:rPr>
        <w:t xml:space="preserve">Sota</w:t>
      </w:r>
      <w:r>
        <w:rPr/>
        <w:t xml:space="preserve">, VII, 1.</w:t>
      </w:r>
    </w:p>
  </w:footnote>
  <w:footnote w:id="660">
    <w:p>
      <w:pPr>
        <w:pStyle w:val="Notedebasdepage"/>
      </w:pPr>
      <w:r>
        <w:rPr>
          <w:rStyle w:val="Appelnotedebasdep"/>
        </w:rPr>
        <w:footnoteRef/>
        <w:t xml:space="preserve"> </w:t>
      </w:r>
      <w:r>
        <w:rPr/>
        <w:t xml:space="preserve"> Voir, en particulier, Jean, VII, 35 ; XII, 20 ; </w:t>
      </w:r>
      <w:r>
        <w:rPr>
          <w:i/>
        </w:rPr>
        <w:t xml:space="preserve">Act.</w:t>
      </w:r>
      <w:r>
        <w:rPr/>
        <w:t xml:space="preserve">, XIV, l ; XVII, 4 ; XVIII, 4 ; XXI, 28.</w:t>
      </w:r>
    </w:p>
  </w:footnote>
  <w:footnote w:id="661">
    <w:p>
      <w:pPr>
        <w:pStyle w:val="Notedebasdepage"/>
      </w:pPr>
      <w:r>
        <w:rPr>
          <w:rStyle w:val="Appelnotedebasdep"/>
        </w:rPr>
        <w:footnoteRef/>
        <w:t xml:space="preserve"> </w:t>
      </w:r>
      <w:r>
        <w:rPr/>
        <w:t xml:space="preserve"> Jean, XII, 20 ; </w:t>
      </w:r>
      <w:r>
        <w:rPr>
          <w:i/>
        </w:rPr>
        <w:t xml:space="preserve">Act.</w:t>
      </w:r>
      <w:r>
        <w:rPr/>
        <w:t xml:space="preserve">, VIII, 27.</w:t>
      </w:r>
    </w:p>
  </w:footnote>
  <w:footnote w:id="662">
    <w:p>
      <w:pPr>
        <w:pStyle w:val="Notedebasdepage"/>
      </w:pPr>
      <w:r>
        <w:rPr>
          <w:rStyle w:val="Appelnotedebasdep"/>
        </w:rPr>
        <w:footnoteRef/>
        <w:t xml:space="preserve"> </w:t>
      </w:r>
      <w:r>
        <w:rPr/>
        <w:t xml:space="preserve"> Mischna, </w:t>
      </w:r>
      <w:r>
        <w:rPr>
          <w:i/>
        </w:rPr>
        <w:t xml:space="preserve">Baba metsia</w:t>
      </w:r>
      <w:r>
        <w:rPr/>
        <w:t xml:space="preserve">, IX, 12 ; Talm. de Bab., </w:t>
      </w:r>
      <w:r>
        <w:rPr>
          <w:i/>
        </w:rPr>
        <w:t xml:space="preserve">Sanh</w:t>
      </w:r>
      <w:r>
        <w:rPr/>
        <w:t xml:space="preserve">., 56 </w:t>
      </w:r>
      <w:r>
        <w:rPr>
          <w:i/>
        </w:rPr>
        <w:t xml:space="preserve">b ; Act.</w:t>
      </w:r>
      <w:r>
        <w:rPr/>
        <w:t xml:space="preserve">, VIII, 27 ; X, 2, 22, 35 ; XIII, 16, 26, 43, 50 ; XVI, 14 ; XVII, 4, 17 ; XVIII, 7 ; Galat., II, 3 ; Jos., </w:t>
      </w:r>
      <w:r>
        <w:rPr>
          <w:i/>
        </w:rPr>
        <w:t xml:space="preserve">Ant.</w:t>
      </w:r>
      <w:r>
        <w:rPr/>
        <w:t xml:space="preserve">, XIV, </w:t>
      </w:r>
      <w:r>
        <w:rPr/>
        <w:t xml:space="preserve">vii</w:t>
      </w:r>
      <w:r>
        <w:rPr/>
        <w:t xml:space="preserve">, 2.</w:t>
      </w:r>
    </w:p>
  </w:footnote>
  <w:footnote w:id="663">
    <w:p>
      <w:pPr>
        <w:pStyle w:val="Notedebasdepage"/>
      </w:pPr>
      <w:r>
        <w:rPr>
          <w:rStyle w:val="Appelnotedebasdep"/>
        </w:rPr>
        <w:footnoteRef/>
        <w:t xml:space="preserve"> </w:t>
      </w:r>
      <w:r>
        <w:rPr>
          <w:i/>
        </w:rPr>
        <w:t xml:space="preserve">Ecclésiastique</w:t>
      </w:r>
      <w:r>
        <w:rPr/>
        <w:t xml:space="preserve">, L, 27-28 ; Jean, VIII, 48 ; Jos., </w:t>
      </w:r>
      <w:r>
        <w:rPr>
          <w:i/>
        </w:rPr>
        <w:t xml:space="preserve">Ant.</w:t>
      </w:r>
      <w:r>
        <w:rPr/>
        <w:t xml:space="preserve">, IX, </w:t>
      </w:r>
      <w:r>
        <w:rPr/>
        <w:t xml:space="preserve">xiv</w:t>
      </w:r>
      <w:r>
        <w:rPr/>
        <w:t xml:space="preserve">, 3 ; XI, </w:t>
      </w:r>
      <w:r>
        <w:rPr/>
        <w:t xml:space="preserve">viii</w:t>
      </w:r>
      <w:r>
        <w:rPr/>
        <w:t xml:space="preserve">, 6 ; XII, </w:t>
      </w:r>
      <w:r>
        <w:rPr/>
        <w:t xml:space="preserve">v</w:t>
      </w:r>
      <w:r>
        <w:rPr/>
        <w:t xml:space="preserve">, 5 ; Talm. de Jérus., </w:t>
      </w:r>
      <w:r>
        <w:rPr>
          <w:i/>
        </w:rPr>
        <w:t xml:space="preserve">Aboda zara</w:t>
      </w:r>
      <w:r>
        <w:rPr/>
        <w:t xml:space="preserve">, V, 4 ; </w:t>
      </w:r>
      <w:r>
        <w:rPr>
          <w:i/>
        </w:rPr>
        <w:t xml:space="preserve">Pesachim</w:t>
      </w:r>
      <w:r>
        <w:t xml:space="preserve"> </w:t>
      </w:r>
      <w:r>
        <w:rPr/>
        <w:t xml:space="preserve">i</w:t>
      </w:r>
      <w:r>
        <w:rPr/>
        <w:t xml:space="preserve">, 1.</w:t>
      </w:r>
    </w:p>
  </w:footnote>
  <w:footnote w:id="664">
    <w:p>
      <w:pPr>
        <w:pStyle w:val="Notedebasdepage"/>
      </w:pPr>
      <w:r>
        <w:rPr>
          <w:rStyle w:val="Appelnotedebasdep"/>
        </w:rPr>
        <w:footnoteRef/>
        <w:t xml:space="preserve"> </w:t>
      </w:r>
      <w:r>
        <w:rPr/>
        <w:t xml:space="preserve"> Matth., X, 5 ; Luc, XVII, 18. Comp. Talm. de Bab., </w:t>
      </w:r>
      <w:r>
        <w:rPr>
          <w:i/>
        </w:rPr>
        <w:t xml:space="preserve">Cholin</w:t>
      </w:r>
      <w:r>
        <w:rPr/>
        <w:t xml:space="preserve">, 6 </w:t>
      </w:r>
      <w:r>
        <w:rPr>
          <w:i/>
        </w:rPr>
        <w:t xml:space="preserve">a</w:t>
      </w:r>
      <w:r>
        <w:rPr/>
        <w:t xml:space="preserve">.</w:t>
      </w:r>
    </w:p>
  </w:footnote>
  <w:footnote w:id="665">
    <w:p>
      <w:pPr>
        <w:pStyle w:val="Notedebasdepage"/>
      </w:pPr>
      <w:r>
        <w:rPr>
          <w:rStyle w:val="Appelnotedebasdep"/>
        </w:rPr>
        <w:footnoteRef/>
        <w:t xml:space="preserve"> </w:t>
      </w:r>
      <w:r>
        <w:rPr/>
        <w:t xml:space="preserve">Matth., X, 5-6.</w:t>
      </w:r>
    </w:p>
  </w:footnote>
  <w:footnote w:id="666">
    <w:p>
      <w:pPr>
        <w:pStyle w:val="Notedebasdepage"/>
      </w:pPr>
      <w:r>
        <w:rPr>
          <w:rStyle w:val="Appelnotedebasdep"/>
        </w:rPr>
        <w:footnoteRef/>
        <w:t xml:space="preserve"> </w:t>
      </w:r>
      <w:r>
        <w:rPr/>
        <w:t xml:space="preserve">Luc, IX, 53.</w:t>
      </w:r>
    </w:p>
  </w:footnote>
  <w:footnote w:id="667">
    <w:p>
      <w:pPr>
        <w:pStyle w:val="Notedebasdepage"/>
      </w:pPr>
      <w:r>
        <w:rPr>
          <w:rStyle w:val="Appelnotedebasdep"/>
        </w:rPr>
        <w:footnoteRef/>
        <w:t xml:space="preserve"> </w:t>
      </w:r>
      <w:r>
        <w:rPr/>
        <w:t xml:space="preserve">Luc, IX, 56.</w:t>
      </w:r>
    </w:p>
  </w:footnote>
  <w:footnote w:id="668">
    <w:p>
      <w:pPr>
        <w:pStyle w:val="Notedebasdepage"/>
      </w:pPr>
      <w:r>
        <w:rPr>
          <w:rStyle w:val="Appelnotedebasdep"/>
        </w:rPr>
        <w:footnoteRef/>
        <w:t xml:space="preserve"> </w:t>
      </w:r>
      <w:r>
        <w:rPr/>
        <w:t xml:space="preserve">Jean, IV, 39-43.</w:t>
      </w:r>
    </w:p>
  </w:footnote>
  <w:footnote w:id="669">
    <w:p>
      <w:pPr>
        <w:pStyle w:val="Notedebasdepage"/>
      </w:pPr>
      <w:r>
        <w:rPr>
          <w:rStyle w:val="Appelnotedebasdep"/>
        </w:rPr>
        <w:footnoteRef/>
        <w:t xml:space="preserve"> </w:t>
      </w:r>
      <w:r>
        <w:rPr/>
        <w:t xml:space="preserve">Luc, XVII, 16 et suiv.</w:t>
      </w:r>
    </w:p>
  </w:footnote>
  <w:footnote w:id="670">
    <w:p>
      <w:pPr>
        <w:pStyle w:val="Notedebasdepage"/>
      </w:pPr>
      <w:r>
        <w:rPr>
          <w:rStyle w:val="Appelnotedebasdep"/>
        </w:rPr>
        <w:footnoteRef/>
        <w:t xml:space="preserve"> </w:t>
      </w:r>
      <w:r>
        <w:rPr/>
        <w:t xml:space="preserve">Luc, X, 30 et suiv.</w:t>
      </w:r>
    </w:p>
  </w:footnote>
  <w:footnote w:id="671">
    <w:p>
      <w:pPr>
        <w:pStyle w:val="Notedebasdepage"/>
      </w:pPr>
      <w:r>
        <w:rPr>
          <w:rStyle w:val="Appelnotedebasdep"/>
        </w:rPr>
        <w:footnoteRef/>
        <w:t xml:space="preserve"> </w:t>
      </w:r>
      <w:r>
        <w:rPr/>
        <w:t xml:space="preserve">Aujourd’hui Naplouse.</w:t>
      </w:r>
    </w:p>
  </w:footnote>
  <w:footnote w:id="672">
    <w:p>
      <w:pPr>
        <w:pStyle w:val="Notedebasdepage"/>
      </w:pPr>
      <w:r>
        <w:rPr>
          <w:rStyle w:val="Appelnotedebasdep"/>
        </w:rPr>
        <w:footnoteRef/>
        <w:t xml:space="preserve"> </w:t>
      </w:r>
      <w:r>
        <w:rPr/>
        <w:t xml:space="preserve">Luc, IX, 53 ; Jean, IV, 9.</w:t>
      </w:r>
    </w:p>
  </w:footnote>
  <w:footnote w:id="673">
    <w:p>
      <w:pPr>
        <w:pStyle w:val="Notedebasdepage"/>
      </w:pPr>
      <w:r>
        <w:rPr>
          <w:rStyle w:val="Appelnotedebasdep"/>
        </w:rPr>
        <w:footnoteRef/>
        <w:t xml:space="preserve"> </w:t>
      </w:r>
      <w:r>
        <w:rPr/>
        <w:t xml:space="preserve"> Mischna, </w:t>
      </w:r>
      <w:r>
        <w:rPr>
          <w:i/>
        </w:rPr>
        <w:t xml:space="preserve">Schebiit</w:t>
      </w:r>
      <w:r>
        <w:rPr/>
        <w:t xml:space="preserve">, VIII, 10.</w:t>
      </w:r>
    </w:p>
  </w:footnote>
  <w:footnote w:id="674">
    <w:p>
      <w:pPr>
        <w:pStyle w:val="Notedebasdepage"/>
      </w:pPr>
      <w:r>
        <w:rPr>
          <w:rStyle w:val="Appelnotedebasdep"/>
        </w:rPr>
        <w:footnoteRef/>
        <w:t xml:space="preserve"> </w:t>
      </w:r>
      <w:r>
        <w:rPr/>
        <w:t xml:space="preserve"> Jos., </w:t>
      </w:r>
      <w:r>
        <w:rPr>
          <w:i/>
        </w:rPr>
        <w:t xml:space="preserve">Ant.</w:t>
      </w:r>
      <w:r>
        <w:rPr/>
        <w:t xml:space="preserve">, XX, </w:t>
      </w:r>
      <w:r>
        <w:rPr/>
        <w:t xml:space="preserve">v</w:t>
      </w:r>
      <w:r>
        <w:rPr/>
        <w:t xml:space="preserve">, 1 ; </w:t>
      </w:r>
      <w:r>
        <w:rPr>
          <w:i/>
        </w:rPr>
        <w:t xml:space="preserve">B.J.</w:t>
      </w:r>
      <w:r>
        <w:rPr/>
        <w:t xml:space="preserve">, II, </w:t>
      </w:r>
      <w:r>
        <w:rPr/>
        <w:t xml:space="preserve">xii</w:t>
      </w:r>
      <w:r>
        <w:rPr/>
        <w:t xml:space="preserve">, 3, </w:t>
      </w:r>
      <w:r>
        <w:rPr>
          <w:i/>
        </w:rPr>
        <w:t xml:space="preserve">Vita</w:t>
      </w:r>
      <w:r>
        <w:rPr/>
        <w:t xml:space="preserve">, 52.</w:t>
      </w:r>
    </w:p>
  </w:footnote>
  <w:footnote w:id="675">
    <w:p>
      <w:pPr>
        <w:pStyle w:val="Notedebasdepage"/>
      </w:pPr>
      <w:r>
        <w:rPr>
          <w:rStyle w:val="Appelnotedebasdep"/>
        </w:rPr>
        <w:footnoteRef/>
        <w:t xml:space="preserve"> </w:t>
      </w:r>
      <w:r>
        <w:rPr/>
        <w:t xml:space="preserve">Jean, IV, 21-23. Le V. 22, au moins le dernier membre, qui exprime une pensée opposée à celle des versets 21 et 23, paraît avoir été interpolé. Il ne faut pas trop insister sur la réalité historique d’une telle conversation, puisque Jésus ou son interlocutrice auraient, seuls pu la raconter. Mais l’anecdote du chapitre IV de Jean représente certainement une des pensées les plus intimes de Jésus, et la plupart des circonstances du récit ont un cachet frappant de vérité.</w:t>
      </w:r>
    </w:p>
  </w:footnote>
  <w:footnote w:id="676">
    <w:p>
      <w:pPr>
        <w:pStyle w:val="Notedebasdepage"/>
      </w:pPr>
      <w:r>
        <w:rPr>
          <w:rStyle w:val="Appelnotedebasdep"/>
        </w:rPr>
        <w:footnoteRef/>
        <w:t xml:space="preserve"> </w:t>
      </w:r>
      <w:r>
        <w:rPr/>
        <w:t xml:space="preserve"> Les hésitations des disciples immédiats de Jésus, dont une fraction considérable resta attachée au judaïsme, pourraient soulever ici quelques objections. Mais le procès de Jésus ne laisse place à aucun doute. Nous verrons qu’il y fut traité comme « séducteur. » Le Talmud donne la procédure suivie contre lui comme un exemple de celle qu’on doit suivre contre les « séducteurs », qui cherchent à renverser la Loi de Moïse. (Talm. de Jérus., </w:t>
      </w:r>
      <w:r>
        <w:rPr>
          <w:i/>
        </w:rPr>
        <w:t xml:space="preserve">Sanhédrin</w:t>
      </w:r>
      <w:r>
        <w:rPr/>
        <w:t xml:space="preserve">, XIV, 16 ; Talm. de Bab., </w:t>
      </w:r>
      <w:r>
        <w:rPr>
          <w:i/>
        </w:rPr>
        <w:t xml:space="preserve">Sanhédrin</w:t>
      </w:r>
      <w:r>
        <w:rPr/>
        <w:t xml:space="preserve">, 43 </w:t>
      </w:r>
      <w:r>
        <w:rPr>
          <w:i/>
        </w:rPr>
        <w:t xml:space="preserve">a</w:t>
      </w:r>
      <w:r>
        <w:rPr/>
        <w:t xml:space="preserve">, 67 </w:t>
      </w:r>
      <w:r>
        <w:rPr>
          <w:i/>
        </w:rPr>
        <w:t xml:space="preserve">a</w:t>
      </w:r>
      <w:r>
        <w:rPr/>
        <w:t xml:space="preserve">).</w:t>
      </w:r>
    </w:p>
  </w:footnote>
  <w:footnote w:id="677">
    <w:p>
      <w:pPr>
        <w:pStyle w:val="Notedebasdepage"/>
      </w:pPr>
      <w:r>
        <w:rPr>
          <w:rStyle w:val="Appelnotedebasdep"/>
        </w:rPr>
        <w:footnoteRef/>
        <w:t xml:space="preserve"> </w:t>
      </w:r>
      <w:r>
        <w:rPr/>
        <w:t xml:space="preserve">Matth., XI, 12 ; Luc, XVI, 16.</w:t>
      </w:r>
    </w:p>
  </w:footnote>
  <w:footnote w:id="678">
    <w:p>
      <w:pPr>
        <w:pStyle w:val="Notedebasdepage"/>
      </w:pPr>
      <w:r>
        <w:rPr>
          <w:rStyle w:val="Appelnotedebasdep"/>
        </w:rPr>
        <w:footnoteRef/>
        <w:t xml:space="preserve"> </w:t>
      </w:r>
      <w:r>
        <w:rPr/>
        <w:t xml:space="preserve"> Il est vrai que certains docteurs, tels que Hillel, Gamaliel, sont donnés comme étant de la race de David. Mais ce sont là des allégations très douteuses. Si la famille de David formait encore un groupe distinct et ayant de la notoriété, comment se fait-il qu’on ne la voie jamais figurer, à côté des Sadokites, des Boëthuses, des Asmonéens, des Hérodes, dans les grandes luttes du temps ?</w:t>
      </w:r>
    </w:p>
  </w:footnote>
  <w:footnote w:id="679">
    <w:p>
      <w:pPr>
        <w:pStyle w:val="Notedebasdepage"/>
      </w:pPr>
      <w:r>
        <w:rPr>
          <w:rStyle w:val="Appelnotedebasdep"/>
        </w:rPr>
        <w:footnoteRef/>
        <w:t xml:space="preserve"> </w:t>
      </w:r>
      <w:r>
        <w:rPr/>
        <w:t xml:space="preserve"> Matth., II, 5-6 ; XXII, 42 ; Luc, I, 32 ; Jean, VII, 41-42 ; </w:t>
      </w:r>
      <w:r>
        <w:rPr>
          <w:i/>
        </w:rPr>
        <w:t xml:space="preserve">Act</w:t>
      </w:r>
      <w:r>
        <w:rPr/>
        <w:t xml:space="preserve">., II, 30.</w:t>
      </w:r>
    </w:p>
  </w:footnote>
  <w:footnote w:id="680">
    <w:p>
      <w:pPr>
        <w:pStyle w:val="Notedebasdepage"/>
      </w:pPr>
      <w:r>
        <w:rPr>
          <w:rStyle w:val="Appelnotedebasdep"/>
        </w:rPr>
        <w:footnoteRef/>
        <w:t xml:space="preserve"> </w:t>
      </w:r>
      <w:r>
        <w:rPr/>
        <w:t xml:space="preserve">Matth., IX, 27 ; XII, 23 ; XV, 22 ; XX, 30-31 ; Marc, X, 47, 52 ; Luc, XVIII, 38.</w:t>
      </w:r>
    </w:p>
  </w:footnote>
  <w:footnote w:id="681">
    <w:p>
      <w:pPr>
        <w:pStyle w:val="Notedebasdepage"/>
      </w:pPr>
      <w:r>
        <w:rPr>
          <w:rStyle w:val="Appelnotedebasdep"/>
        </w:rPr>
        <w:footnoteRef/>
        <w:t xml:space="preserve"> </w:t>
      </w:r>
      <w:r>
        <w:rPr/>
        <w:t xml:space="preserve">Matth., I, 1 et suiv. ; Luc, III, 23 et suiv.</w:t>
      </w:r>
    </w:p>
  </w:footnote>
  <w:footnote w:id="682">
    <w:p>
      <w:pPr>
        <w:pStyle w:val="Notedebasdepage"/>
      </w:pPr>
      <w:r>
        <w:rPr>
          <w:rStyle w:val="Appelnotedebasdep"/>
        </w:rPr>
        <w:footnoteRef/>
        <w:t xml:space="preserve"> </w:t>
      </w:r>
      <w:r>
        <w:rPr/>
        <w:t xml:space="preserve">Matth., II, 1 et suiv. ; Luc, II, 1 et suiv.</w:t>
      </w:r>
    </w:p>
  </w:footnote>
  <w:footnote w:id="683">
    <w:p>
      <w:pPr>
        <w:pStyle w:val="Notedebasdepage"/>
      </w:pPr>
      <w:r>
        <w:rPr>
          <w:rStyle w:val="Appelnotedebasdep"/>
        </w:rPr>
        <w:footnoteRef/>
        <w:t xml:space="preserve"> </w:t>
      </w:r>
      <w:r>
        <w:rPr/>
        <w:t xml:space="preserve"> Les deux généalogies sont tout à fait discordantes entre elles et peu conformes aux listes de l’Ancien Testament. Le récit de Luc sur le recensement de Quirinius implique un anachronisme. Voir ci-dessus, p. 19-20, note. Il est naturel, du reste, que la légende se soit emparée de cette circonstance. Les recensements frappaient beaucoup les Juifs, bouleversaient leurs idées étroites, et l’on s’en souvenait longtemps. Cf. </w:t>
      </w:r>
      <w:r>
        <w:rPr>
          <w:i/>
        </w:rPr>
        <w:t xml:space="preserve">Act</w:t>
      </w:r>
      <w:r>
        <w:rPr/>
        <w:t xml:space="preserve">., V, 37.</w:t>
      </w:r>
    </w:p>
  </w:footnote>
  <w:footnote w:id="684">
    <w:p>
      <w:pPr>
        <w:pStyle w:val="Notedebasdepage"/>
      </w:pPr>
      <w:r>
        <w:rPr>
          <w:rStyle w:val="Appelnotedebasdep"/>
        </w:rPr>
        <w:footnoteRef/>
        <w:t xml:space="preserve"> </w:t>
      </w:r>
      <w:r>
        <w:rPr/>
        <w:t xml:space="preserve"> Jules Africain (dans Eusèbe, </w:t>
      </w:r>
      <w:r>
        <w:rPr>
          <w:i/>
        </w:rPr>
        <w:t xml:space="preserve">H. E.</w:t>
      </w:r>
      <w:r>
        <w:rPr/>
        <w:t xml:space="preserve">, I, 7) suppose que ce furent les parents de Jésus qui, réfugiés en Batanée, essayèrent de recomposer les généalogies.</w:t>
      </w:r>
    </w:p>
  </w:footnote>
  <w:footnote w:id="685">
    <w:p>
      <w:pPr>
        <w:pStyle w:val="Notedebasdepage"/>
      </w:pPr>
      <w:r>
        <w:rPr>
          <w:rStyle w:val="Appelnotedebasdep"/>
        </w:rPr>
        <w:footnoteRef/>
        <w:t xml:space="preserve"> </w:t>
      </w:r>
      <w:r>
        <w:rPr/>
        <w:t xml:space="preserve"> Les </w:t>
      </w:r>
      <w:r>
        <w:rPr>
          <w:i/>
        </w:rPr>
        <w:t xml:space="preserve">Ébionim</w:t>
      </w:r>
      <w:r>
        <w:rPr/>
        <w:t xml:space="preserve">, les « Hébreux », les « Nazaréens », Talien, Marcion. Cf. Épiph., </w:t>
      </w:r>
      <w:r>
        <w:rPr>
          <w:i/>
        </w:rPr>
        <w:t xml:space="preserve">Adv. hær</w:t>
      </w:r>
      <w:r>
        <w:rPr/>
        <w:t xml:space="preserve">., XXIX, 9 ; XXX, 3, 14 ; XLVI, 1 ; Théodoret, </w:t>
      </w:r>
      <w:r>
        <w:rPr>
          <w:i/>
        </w:rPr>
        <w:t xml:space="preserve">Hæret. fab</w:t>
      </w:r>
      <w:r>
        <w:rPr/>
        <w:t xml:space="preserve">., I, 20 ; Isidore de Péluse, Epist., I, 371, ad Pansophium.</w:t>
      </w:r>
    </w:p>
  </w:footnote>
  <w:footnote w:id="686">
    <w:p>
      <w:pPr>
        <w:pStyle w:val="Notedebasdepage"/>
      </w:pPr>
      <w:r>
        <w:rPr>
          <w:rStyle w:val="Appelnotedebasdep"/>
        </w:rPr>
        <w:footnoteRef/>
        <w:t xml:space="preserve"> </w:t>
      </w:r>
      <w:r>
        <w:rPr/>
        <w:t xml:space="preserve">Matth., I, 22-23.</w:t>
      </w:r>
    </w:p>
  </w:footnote>
  <w:footnote w:id="687">
    <w:p>
      <w:pPr>
        <w:pStyle w:val="Notedebasdepage"/>
      </w:pPr>
      <w:r>
        <w:rPr>
          <w:rStyle w:val="Appelnotedebasdep"/>
        </w:rPr>
        <w:footnoteRef/>
        <w:t xml:space="preserve"> </w:t>
      </w:r>
      <w:r>
        <w:rPr/>
        <w:t xml:space="preserve"> Genèse, I, 2. Pour l’idée analogue chez les Égyptiens, voir Hérodote, III, 28 ; Pomp. Mela, I, 9 ; Plutarque, </w:t>
      </w:r>
      <w:r>
        <w:rPr>
          <w:i/>
        </w:rPr>
        <w:t xml:space="preserve">Quæst. symp</w:t>
      </w:r>
      <w:r>
        <w:rPr/>
        <w:t xml:space="preserve">., VIII, I, 3 ; </w:t>
      </w:r>
      <w:r>
        <w:rPr>
          <w:i/>
        </w:rPr>
        <w:t xml:space="preserve">De Isid. et Osir</w:t>
      </w:r>
      <w:r>
        <w:rPr/>
        <w:t xml:space="preserve">., 43.</w:t>
      </w:r>
    </w:p>
  </w:footnote>
  <w:footnote w:id="688">
    <w:p>
      <w:pPr>
        <w:pStyle w:val="Notedebasdepage"/>
      </w:pPr>
      <w:r>
        <w:rPr>
          <w:rStyle w:val="Appelnotedebasdep"/>
        </w:rPr>
        <w:footnoteRef/>
        <w:t xml:space="preserve"> </w:t>
      </w:r>
      <w:r>
        <w:rPr/>
        <w:t xml:space="preserve">Matth., I, 15, 23 ; Is., VII, 14 et suiv.</w:t>
      </w:r>
    </w:p>
  </w:footnote>
  <w:footnote w:id="689">
    <w:p>
      <w:pPr>
        <w:pStyle w:val="Notedebasdepage"/>
      </w:pPr>
      <w:r>
        <w:rPr>
          <w:rStyle w:val="Appelnotedebasdep"/>
        </w:rPr>
        <w:footnoteRef/>
        <w:t xml:space="preserve"> </w:t>
      </w:r>
      <w:r>
        <w:rPr/>
        <w:t xml:space="preserve">Matth., II, 1 et suiv.</w:t>
      </w:r>
    </w:p>
  </w:footnote>
  <w:footnote w:id="690">
    <w:p>
      <w:pPr>
        <w:pStyle w:val="Notedebasdepage"/>
      </w:pPr>
      <w:r>
        <w:rPr>
          <w:rStyle w:val="Appelnotedebasdep"/>
        </w:rPr>
        <w:footnoteRef/>
        <w:t xml:space="preserve"> </w:t>
      </w:r>
      <w:r>
        <w:rPr/>
        <w:t xml:space="preserve">Luc, II, 25 et suiv.</w:t>
      </w:r>
    </w:p>
  </w:footnote>
  <w:footnote w:id="691">
    <w:p>
      <w:pPr>
        <w:pStyle w:val="Notedebasdepage"/>
      </w:pPr>
      <w:r>
        <w:rPr>
          <w:rStyle w:val="Appelnotedebasdep"/>
        </w:rPr>
        <w:footnoteRef/>
        <w:t xml:space="preserve"> </w:t>
      </w:r>
      <w:r>
        <w:rPr/>
        <w:t xml:space="preserve"> Ainsi la légende du Massacre des Innocents se rapporte probablement à quelque cruauté exercée par Hérode du côté de Bethléhem. Comp. Jos., </w:t>
      </w:r>
      <w:r>
        <w:rPr>
          <w:i/>
        </w:rPr>
        <w:t xml:space="preserve">Ant</w:t>
      </w:r>
      <w:r>
        <w:rPr/>
        <w:t xml:space="preserve">., XIV, </w:t>
      </w:r>
      <w:r>
        <w:rPr/>
        <w:t xml:space="preserve">ix</w:t>
      </w:r>
      <w:r>
        <w:rPr/>
        <w:t xml:space="preserve">, 4.</w:t>
      </w:r>
    </w:p>
  </w:footnote>
  <w:footnote w:id="692">
    <w:p>
      <w:pPr>
        <w:pStyle w:val="Notedebasdepage"/>
      </w:pPr>
      <w:r>
        <w:rPr>
          <w:rStyle w:val="Appelnotedebasdep"/>
        </w:rPr>
        <w:footnoteRef/>
        <w:t xml:space="preserve"> </w:t>
      </w:r>
      <w:r>
        <w:rPr/>
        <w:t xml:space="preserve"> Matth., I et II ; Luc, I et II ; S. Justin, </w:t>
      </w:r>
      <w:r>
        <w:rPr>
          <w:i/>
        </w:rPr>
        <w:t xml:space="preserve">Dial. cum Tryph</w:t>
      </w:r>
      <w:r>
        <w:rPr/>
        <w:t xml:space="preserve">., 78, 106 ; </w:t>
      </w:r>
      <w:r>
        <w:rPr>
          <w:i/>
        </w:rPr>
        <w:t xml:space="preserve">Protévang. de Jacques</w:t>
      </w:r>
      <w:r>
        <w:rPr/>
        <w:t xml:space="preserve"> (apocr.), 18 et suiv.</w:t>
      </w:r>
    </w:p>
  </w:footnote>
  <w:footnote w:id="693">
    <w:p>
      <w:pPr>
        <w:pStyle w:val="Notedebasdepage"/>
      </w:pPr>
      <w:r>
        <w:rPr>
          <w:rStyle w:val="Appelnotedebasdep"/>
        </w:rPr>
        <w:footnoteRef/>
        <w:t xml:space="preserve"> </w:t>
      </w:r>
      <w:r>
        <w:rPr/>
        <w:t xml:space="preserve"> Certains passages, comme </w:t>
      </w:r>
      <w:r>
        <w:rPr>
          <w:i/>
        </w:rPr>
        <w:t xml:space="preserve">Act</w:t>
      </w:r>
      <w:r>
        <w:rPr/>
        <w:t xml:space="preserve">., II, 22, l’excluent formellement.</w:t>
      </w:r>
    </w:p>
  </w:footnote>
  <w:footnote w:id="694">
    <w:p>
      <w:pPr>
        <w:pStyle w:val="Notedebasdepage"/>
      </w:pPr>
      <w:r>
        <w:rPr>
          <w:rStyle w:val="Appelnotedebasdep"/>
        </w:rPr>
        <w:footnoteRef/>
        <w:t xml:space="preserve"> </w:t>
      </w:r>
      <w:r>
        <w:rPr/>
        <w:t xml:space="preserve">Matth., XIX, 17 ; Marc, X, 18 ; Luc, XVIII, 19.</w:t>
      </w:r>
    </w:p>
  </w:footnote>
  <w:footnote w:id="695">
    <w:p>
      <w:pPr>
        <w:pStyle w:val="Notedebasdepage"/>
      </w:pPr>
      <w:r>
        <w:rPr>
          <w:rStyle w:val="Appelnotedebasdep"/>
        </w:rPr>
        <w:footnoteRef/>
        <w:t xml:space="preserve"> </w:t>
      </w:r>
      <w:r>
        <w:rPr/>
        <w:t xml:space="preserve">Jean, V, 18 et suiv. ; X, 33 et suiv.</w:t>
      </w:r>
    </w:p>
  </w:footnote>
  <w:footnote w:id="696">
    <w:p>
      <w:pPr>
        <w:pStyle w:val="Notedebasdepage"/>
      </w:pPr>
      <w:r>
        <w:rPr>
          <w:rStyle w:val="Appelnotedebasdep"/>
        </w:rPr>
        <w:footnoteRef/>
        <w:t xml:space="preserve"> </w:t>
      </w:r>
      <w:r>
        <w:rPr/>
        <w:t xml:space="preserve">Jean, XIV, 28.</w:t>
      </w:r>
    </w:p>
  </w:footnote>
  <w:footnote w:id="697">
    <w:p>
      <w:pPr>
        <w:pStyle w:val="Notedebasdepage"/>
      </w:pPr>
      <w:r>
        <w:rPr>
          <w:rStyle w:val="Appelnotedebasdep"/>
        </w:rPr>
        <w:footnoteRef/>
        <w:t xml:space="preserve"> </w:t>
      </w:r>
      <w:r>
        <w:rPr/>
        <w:t xml:space="preserve">Marc, XIII, 35.</w:t>
      </w:r>
    </w:p>
  </w:footnote>
  <w:footnote w:id="698">
    <w:p>
      <w:pPr>
        <w:pStyle w:val="Notedebasdepage"/>
      </w:pPr>
      <w:r>
        <w:rPr>
          <w:rStyle w:val="Appelnotedebasdep"/>
        </w:rPr>
        <w:footnoteRef/>
        <w:t xml:space="preserve"> </w:t>
      </w:r>
      <w:r>
        <w:rPr/>
        <w:t xml:space="preserve"> Matth., V, 9, 45 ; Luc, III, 38 ; VI, 35 ; XX, 36 ; Jean, I, 12-13 ; X, 34-35. Comp. </w:t>
      </w:r>
      <w:r>
        <w:rPr>
          <w:i/>
        </w:rPr>
        <w:t xml:space="preserve">Act</w:t>
      </w:r>
      <w:r>
        <w:rPr/>
        <w:t xml:space="preserve">., XVII, 28-29 ; Rom., VIII, 14, 19, 21 ; IX, 26 ; II Cor., VI, 18 ; Galat., III, 26, et dans l’Ancien Testament, </w:t>
      </w:r>
      <w:r>
        <w:rPr>
          <w:i/>
        </w:rPr>
        <w:t xml:space="preserve">Deutér</w:t>
      </w:r>
      <w:r>
        <w:rPr/>
        <w:t xml:space="preserve">., XIV, 1, et surtout </w:t>
      </w:r>
      <w:r>
        <w:rPr>
          <w:i/>
        </w:rPr>
        <w:t xml:space="preserve">Sagesse</w:t>
      </w:r>
      <w:r>
        <w:rPr/>
        <w:t xml:space="preserve">, II, 13, 18.</w:t>
      </w:r>
    </w:p>
  </w:footnote>
  <w:footnote w:id="699">
    <w:p>
      <w:pPr>
        <w:pStyle w:val="Notedebasdepage"/>
      </w:pPr>
      <w:r>
        <w:rPr>
          <w:rStyle w:val="Appelnotedebasdep"/>
        </w:rPr>
        <w:footnoteRef/>
        <w:t xml:space="preserve"> </w:t>
      </w:r>
      <w:r>
        <w:rPr/>
        <w:t xml:space="preserve">Luc, XX, 36.</w:t>
      </w:r>
    </w:p>
  </w:footnote>
  <w:footnote w:id="700">
    <w:p>
      <w:pPr>
        <w:pStyle w:val="Notedebasdepage"/>
      </w:pPr>
      <w:r>
        <w:rPr>
          <w:rStyle w:val="Appelnotedebasdep"/>
        </w:rPr>
        <w:footnoteRef/>
        <w:t xml:space="preserve"> </w:t>
      </w:r>
      <w:r>
        <w:rPr/>
        <w:t xml:space="preserve">Gen., VI, 2 ; Job, I, 6 ; II, 1 ; XXVIII, 7 ; Ps. II, 7 ; LXXXII, 6, II Sam., VII, 14.</w:t>
      </w:r>
    </w:p>
  </w:footnote>
  <w:footnote w:id="701">
    <w:p>
      <w:pPr>
        <w:pStyle w:val="Notedebasdepage"/>
      </w:pPr>
      <w:r>
        <w:rPr>
          <w:rStyle w:val="Appelnotedebasdep"/>
        </w:rPr>
        <w:footnoteRef/>
        <w:t xml:space="preserve"> </w:t>
      </w:r>
      <w:r>
        <w:rPr/>
        <w:t xml:space="preserve"> Le fils du diable (Matth., XIII, 38 ; </w:t>
      </w:r>
      <w:r>
        <w:rPr>
          <w:i/>
        </w:rPr>
        <w:t xml:space="preserve">Act</w:t>
      </w:r>
      <w:r>
        <w:rPr/>
        <w:t xml:space="preserve">., XIII, 10) ; les fils de ce monde (Marc, III, 17 ; Luc, XVI, 8 ; XX, 34) ; les fils de la lumière (Luc, XVI, 8 ; Jean, XII, 36) ; les fils de la résurrection (Luc, XX, 36) ; les fils du royaume (Matth., VIII, 12 ; XIII, 38) ; les fils de l’époux (Matth., IX, 15 ; Marc, II, 19 ; Luc, V, 34) ; les fils de la Géhenne (Matth., XXIII, 15) ; les fils de la paix (Luc, X, 6), etc. Rappelons que le Jupiter du paganisme est [Greek : patêr avdrôn te theôn te].</w:t>
      </w:r>
    </w:p>
  </w:footnote>
  <w:footnote w:id="702">
    <w:p>
      <w:pPr>
        <w:pStyle w:val="Notedebasdepage"/>
      </w:pPr>
      <w:r>
        <w:rPr>
          <w:rStyle w:val="Appelnotedebasdep"/>
        </w:rPr>
        <w:footnoteRef/>
        <w:t xml:space="preserve"> </w:t>
      </w:r>
      <w:r>
        <w:rPr/>
        <w:t xml:space="preserve"> Comp. </w:t>
      </w:r>
      <w:r>
        <w:rPr>
          <w:i/>
        </w:rPr>
        <w:t xml:space="preserve">Act</w:t>
      </w:r>
      <w:r>
        <w:rPr/>
        <w:t xml:space="preserve">., XVII, 28.</w:t>
      </w:r>
    </w:p>
  </w:footnote>
  <w:footnote w:id="703">
    <w:p>
      <w:pPr>
        <w:pStyle w:val="Notedebasdepage"/>
      </w:pPr>
      <w:r>
        <w:rPr>
          <w:rStyle w:val="Appelnotedebasdep"/>
        </w:rPr>
        <w:footnoteRef/>
        <w:t xml:space="preserve"> </w:t>
      </w:r>
      <w:r>
        <w:rPr/>
        <w:t xml:space="preserve">Matth., XVIII, 20 ; XXVIII, 20.</w:t>
      </w:r>
    </w:p>
  </w:footnote>
  <w:footnote w:id="704">
    <w:p>
      <w:pPr>
        <w:pStyle w:val="Notedebasdepage"/>
      </w:pPr>
      <w:r>
        <w:rPr>
          <w:rStyle w:val="Appelnotedebasdep"/>
        </w:rPr>
        <w:footnoteRef/>
        <w:t xml:space="preserve"> </w:t>
      </w:r>
      <w:r>
        <w:rPr/>
        <w:t xml:space="preserve">Jean, X, 30 ; XVII, 21. Voir en général les derniers discours de Jean, surtout le ch. XVII, qui expriment bien un côté de l’état psychologique de Jésus, quoiqu’on ne puisse les envisager comme de vrais documents historiques.</w:t>
      </w:r>
    </w:p>
  </w:footnote>
  <w:footnote w:id="705">
    <w:p>
      <w:pPr>
        <w:pStyle w:val="Notedebasdepage"/>
      </w:pPr>
      <w:r>
        <w:rPr>
          <w:rStyle w:val="Appelnotedebasdep"/>
        </w:rPr>
        <w:footnoteRef/>
        <w:t xml:space="preserve"> </w:t>
      </w:r>
      <w:r>
        <w:rPr/>
        <w:t xml:space="preserve">Les passages à l’appui de cela sont trop nombreux pour être rapportés ici.</w:t>
      </w:r>
    </w:p>
  </w:footnote>
  <w:footnote w:id="706">
    <w:p>
      <w:pPr>
        <w:pStyle w:val="Notedebasdepage"/>
      </w:pPr>
      <w:r>
        <w:rPr>
          <w:rStyle w:val="Appelnotedebasdep"/>
        </w:rPr>
        <w:footnoteRef/>
        <w:t xml:space="preserve"> </w:t>
      </w:r>
      <w:r>
        <w:rPr/>
        <w:t xml:space="preserve"> C’est seulement dans l’évangile de Jean que Jésus se sert de l’expression de « Fils de Dieu » ou de « Fils » comme synonyme du pronom </w:t>
      </w:r>
      <w:r>
        <w:rPr>
          <w:i/>
        </w:rPr>
        <w:t xml:space="preserve">je</w:t>
      </w:r>
      <w:r>
        <w:rPr/>
        <w:t xml:space="preserve">.</w:t>
      </w:r>
    </w:p>
  </w:footnote>
  <w:footnote w:id="707">
    <w:p>
      <w:pPr>
        <w:pStyle w:val="Notedebasdepage"/>
      </w:pPr>
      <w:r>
        <w:rPr>
          <w:rStyle w:val="Appelnotedebasdep"/>
        </w:rPr>
        <w:footnoteRef/>
        <w:t xml:space="preserve"> </w:t>
      </w:r>
      <w:r>
        <w:rPr/>
        <w:t xml:space="preserve">Matth., XII, 8 ; Luc, VI, 5.</w:t>
      </w:r>
    </w:p>
  </w:footnote>
  <w:footnote w:id="708">
    <w:p>
      <w:pPr>
        <w:pStyle w:val="Notedebasdepage"/>
      </w:pPr>
      <w:r>
        <w:rPr>
          <w:rStyle w:val="Appelnotedebasdep"/>
        </w:rPr>
        <w:footnoteRef/>
        <w:t xml:space="preserve"> </w:t>
      </w:r>
      <w:r>
        <w:rPr/>
        <w:t xml:space="preserve">Matth., XI, 27.</w:t>
      </w:r>
    </w:p>
  </w:footnote>
  <w:footnote w:id="709">
    <w:p>
      <w:pPr>
        <w:pStyle w:val="Notedebasdepage"/>
      </w:pPr>
      <w:r>
        <w:rPr>
          <w:rStyle w:val="Appelnotedebasdep"/>
        </w:rPr>
        <w:footnoteRef/>
        <w:t xml:space="preserve"> </w:t>
      </w:r>
      <w:r>
        <w:rPr/>
        <w:t xml:space="preserve">Jean, V, 22.</w:t>
      </w:r>
    </w:p>
  </w:footnote>
  <w:footnote w:id="710">
    <w:p>
      <w:pPr>
        <w:pStyle w:val="Notedebasdepage"/>
      </w:pPr>
      <w:r>
        <w:rPr>
          <w:rStyle w:val="Appelnotedebasdep"/>
        </w:rPr>
        <w:footnoteRef/>
        <w:t xml:space="preserve"> </w:t>
      </w:r>
      <w:r>
        <w:rPr/>
        <w:t xml:space="preserve">Matth., XVII, 18-19 ; Luc, XVII, 6.</w:t>
      </w:r>
    </w:p>
  </w:footnote>
  <w:footnote w:id="711">
    <w:p>
      <w:pPr>
        <w:pStyle w:val="Notedebasdepage"/>
      </w:pPr>
      <w:r>
        <w:rPr>
          <w:rStyle w:val="Appelnotedebasdep"/>
        </w:rPr>
        <w:footnoteRef/>
        <w:t xml:space="preserve"> </w:t>
      </w:r>
      <w:r>
        <w:rPr/>
        <w:t xml:space="preserve">Matth., IX, 8.</w:t>
      </w:r>
    </w:p>
  </w:footnote>
  <w:footnote w:id="712">
    <w:p>
      <w:pPr>
        <w:pStyle w:val="Notedebasdepage"/>
      </w:pPr>
      <w:r>
        <w:rPr>
          <w:rStyle w:val="Appelnotedebasdep"/>
        </w:rPr>
        <w:footnoteRef/>
        <w:t xml:space="preserve"> </w:t>
      </w:r>
      <w:r>
        <w:rPr/>
        <w:t xml:space="preserve">Matth., IX, 2 et suiv. ; Marc, II, 5 et suiv. ; Luc, V, 20 ; VII, 47-48.</w:t>
      </w:r>
    </w:p>
  </w:footnote>
  <w:footnote w:id="713">
    <w:p>
      <w:pPr>
        <w:pStyle w:val="Notedebasdepage"/>
      </w:pPr>
      <w:r>
        <w:rPr>
          <w:rStyle w:val="Appelnotedebasdep"/>
        </w:rPr>
        <w:footnoteRef/>
        <w:t xml:space="preserve"> </w:t>
      </w:r>
      <w:r>
        <w:rPr/>
        <w:t xml:space="preserve">Matth., XII, 41-42 ; XXII, 43 et suiv. ; Jean, VIII, 52 et suiv.</w:t>
      </w:r>
    </w:p>
  </w:footnote>
  <w:footnote w:id="714">
    <w:p>
      <w:pPr>
        <w:pStyle w:val="Notedebasdepage"/>
      </w:pPr>
      <w:r>
        <w:rPr>
          <w:rStyle w:val="Appelnotedebasdep"/>
        </w:rPr>
        <w:footnoteRef/>
        <w:t xml:space="preserve"> </w:t>
      </w:r>
      <w:r>
        <w:rPr/>
        <w:t xml:space="preserve">Voir surtout Jean, XIV et suiv. Mais il est douteux que nous ayons là l’enseignement authentique de Jésus.</w:t>
      </w:r>
    </w:p>
  </w:footnote>
  <w:footnote w:id="715">
    <w:p>
      <w:pPr>
        <w:pStyle w:val="Notedebasdepage"/>
      </w:pPr>
      <w:r>
        <w:rPr>
          <w:rStyle w:val="Appelnotedebasdep"/>
        </w:rPr>
        <w:footnoteRef/>
        <w:t xml:space="preserve"> </w:t>
      </w:r>
      <w:r>
        <w:rPr/>
        <w:t xml:space="preserve"> Philon. cité dans Eusèbe, </w:t>
      </w:r>
      <w:r>
        <w:rPr>
          <w:i/>
        </w:rPr>
        <w:t xml:space="preserve">Proep. Evang</w:t>
      </w:r>
      <w:r>
        <w:rPr/>
        <w:t xml:space="preserve">., VII, 13.</w:t>
      </w:r>
    </w:p>
  </w:footnote>
  <w:footnote w:id="716">
    <w:p>
      <w:pPr>
        <w:pStyle w:val="Notedebasdepage"/>
      </w:pPr>
      <w:r>
        <w:rPr>
          <w:rStyle w:val="Appelnotedebasdep"/>
        </w:rPr>
        <w:footnoteRef/>
        <w:t xml:space="preserve"> </w:t>
      </w:r>
      <w:r>
        <w:rPr/>
        <w:t xml:space="preserve"> Philon, </w:t>
      </w:r>
      <w:r>
        <w:rPr>
          <w:i/>
        </w:rPr>
        <w:t xml:space="preserve">De migr. Abraham</w:t>
      </w:r>
      <w:r>
        <w:rPr/>
        <w:t xml:space="preserve">, § 1 ; </w:t>
      </w:r>
      <w:r>
        <w:rPr>
          <w:i/>
        </w:rPr>
        <w:t xml:space="preserve">Quod Deus immut</w:t>
      </w:r>
      <w:r>
        <w:rPr/>
        <w:t xml:space="preserve">., § 6 ; </w:t>
      </w:r>
      <w:r>
        <w:rPr>
          <w:i/>
        </w:rPr>
        <w:t xml:space="preserve">De confus, ling</w:t>
      </w:r>
      <w:r>
        <w:rPr/>
        <w:t xml:space="preserve">., § 14 et 28 ; </w:t>
      </w:r>
      <w:r>
        <w:rPr>
          <w:i/>
        </w:rPr>
        <w:t xml:space="preserve">De profugis</w:t>
      </w:r>
      <w:r>
        <w:rPr/>
        <w:t xml:space="preserve"> § 20 ; </w:t>
      </w:r>
      <w:r>
        <w:rPr>
          <w:i/>
        </w:rPr>
        <w:t xml:space="preserve">De somniis</w:t>
      </w:r>
      <w:r>
        <w:rPr/>
        <w:t xml:space="preserve">, I, § 37 ; </w:t>
      </w:r>
      <w:r>
        <w:rPr>
          <w:i/>
        </w:rPr>
        <w:t xml:space="preserve">De agric. Noë</w:t>
      </w:r>
      <w:r>
        <w:rPr/>
        <w:t xml:space="preserve">, § 12 ; </w:t>
      </w:r>
      <w:r>
        <w:rPr>
          <w:i/>
        </w:rPr>
        <w:t xml:space="preserve">Quis rerum divin. hæres</w:t>
      </w:r>
      <w:r>
        <w:rPr/>
        <w:t xml:space="preserve">, § 25 et suiv., 48 et suiv., etc.</w:t>
      </w:r>
    </w:p>
  </w:footnote>
  <w:footnote w:id="717">
    <w:p>
      <w:pPr>
        <w:pStyle w:val="Notedebasdepage"/>
      </w:pPr>
      <w:r>
        <w:rPr>
          <w:rStyle w:val="Appelnotedebasdep"/>
        </w:rPr>
        <w:footnoteRef/>
        <w:t xml:space="preserve"> </w:t>
      </w:r>
      <w:r>
        <w:rPr/>
        <w:t xml:space="preserve"> [Greek : Metathronos], c’est-à-dire partageant le trône de Dieu ; sorte de secrétaire divin, tenant le registre des mérites et des démérites : </w:t>
      </w:r>
      <w:r>
        <w:rPr>
          <w:i/>
        </w:rPr>
        <w:t xml:space="preserve">Bereschith Rabba</w:t>
      </w:r>
      <w:r>
        <w:rPr/>
        <w:t xml:space="preserve">, V, 6 </w:t>
      </w:r>
      <w:r>
        <w:rPr>
          <w:i/>
        </w:rPr>
        <w:t xml:space="preserve">c</w:t>
      </w:r>
      <w:r>
        <w:rPr/>
        <w:t xml:space="preserve"> ; Talm. de Bab., </w:t>
      </w:r>
      <w:r>
        <w:rPr>
          <w:i/>
        </w:rPr>
        <w:t xml:space="preserve">Sanhédr</w:t>
      </w:r>
      <w:r>
        <w:rPr/>
        <w:t xml:space="preserve">., 38 </w:t>
      </w:r>
      <w:r>
        <w:rPr>
          <w:i/>
        </w:rPr>
        <w:t xml:space="preserve">b ; Chagiga</w:t>
      </w:r>
      <w:r>
        <w:rPr/>
        <w:t xml:space="preserve">, 15 </w:t>
      </w:r>
      <w:r>
        <w:rPr>
          <w:i/>
        </w:rPr>
        <w:t xml:space="preserve">a</w:t>
      </w:r>
      <w:r>
        <w:rPr/>
        <w:t xml:space="preserve"> ; Targum de Jonathan, </w:t>
      </w:r>
      <w:r>
        <w:rPr>
          <w:i/>
        </w:rPr>
        <w:t xml:space="preserve">Gen</w:t>
      </w:r>
      <w:r>
        <w:rPr/>
        <w:t xml:space="preserve">., V, 24.</w:t>
      </w:r>
    </w:p>
  </w:footnote>
  <w:footnote w:id="718">
    <w:p>
      <w:pPr>
        <w:pStyle w:val="Notedebasdepage"/>
      </w:pPr>
      <w:r>
        <w:rPr>
          <w:rStyle w:val="Appelnotedebasdep"/>
        </w:rPr>
        <w:footnoteRef/>
        <w:t xml:space="preserve"> </w:t>
      </w:r>
      <w:r>
        <w:rPr/>
        <w:t xml:space="preserve"> Cette théorie du[Greek : Logos] ne renferme pas d’éléments grecs. Les rapprochements qu’on en a faits avec l’</w:t>
      </w:r>
      <w:r>
        <w:rPr>
          <w:i/>
        </w:rPr>
        <w:t xml:space="preserve">Honover</w:t>
      </w:r>
      <w:r>
        <w:rPr/>
        <w:t xml:space="preserve"> des Parsis sont aussi sans fondement. Le </w:t>
      </w:r>
      <w:r>
        <w:rPr>
          <w:i/>
        </w:rPr>
        <w:t xml:space="preserve">Minokhired</w:t>
      </w:r>
      <w:r>
        <w:rPr/>
        <w:t xml:space="preserve"> ou « Intelligence divine » a bien de l’analogie avec le[Greek : Logos] juif. (Voir les fragments du livre intitulé </w:t>
      </w:r>
      <w:r>
        <w:rPr>
          <w:i/>
        </w:rPr>
        <w:t xml:space="preserve">Minokhired</w:t>
      </w:r>
      <w:r>
        <w:rPr/>
        <w:t xml:space="preserve"> dans Spiegel, </w:t>
      </w:r>
      <w:r>
        <w:rPr>
          <w:i/>
        </w:rPr>
        <w:t xml:space="preserve">Parsi-Grammatik</w:t>
      </w:r>
      <w:r>
        <w:rPr/>
        <w:t xml:space="preserve">, p. 161-162.) Mais le développement qu’a pris la doctrine du </w:t>
      </w:r>
      <w:r>
        <w:rPr>
          <w:i/>
        </w:rPr>
        <w:t xml:space="preserve">Minokhired</w:t>
      </w:r>
      <w:r>
        <w:rPr/>
        <w:t xml:space="preserve"> chez les Parsis est moderne et peut impliquer une influence étrangère. L’« Intelligence divine » (</w:t>
      </w:r>
      <w:r>
        <w:rPr>
          <w:i/>
        </w:rPr>
        <w:t xml:space="preserve">Mainyu-Khratú</w:t>
      </w:r>
      <w:r>
        <w:rPr/>
        <w:t xml:space="preserve">) figure dans les livres zends ; mais elle n’y sert pas de base à une théorie ; elle entre seulement dans quelques invocations. Les rapprochements que l’on a essayés entre la théorie alexandrine du Verbe et certains points de la théologie égyptienne peuvent n’être pas sans valeur. Mais rien n’indique que, dans les siècles qui précèdent l’ère chrétienne, le judaïsme palestinien ait fait aucun emprunt à l’Égypte.</w:t>
      </w:r>
    </w:p>
  </w:footnote>
  <w:footnote w:id="719">
    <w:p>
      <w:pPr>
        <w:pStyle w:val="Notedebasdepage"/>
      </w:pPr>
      <w:r>
        <w:rPr>
          <w:rStyle w:val="Appelnotedebasdep"/>
        </w:rPr>
        <w:footnoteRef/>
        <w:t xml:space="preserve"> </w:t>
      </w:r>
      <w:r>
        <w:rPr>
          <w:i/>
        </w:rPr>
        <w:t xml:space="preserve">Act</w:t>
      </w:r>
      <w:r>
        <w:rPr/>
        <w:t xml:space="preserve">., VIII, 10.</w:t>
      </w:r>
    </w:p>
  </w:footnote>
  <w:footnote w:id="720">
    <w:p>
      <w:pPr>
        <w:pStyle w:val="Notedebasdepage"/>
      </w:pPr>
      <w:r>
        <w:rPr>
          <w:rStyle w:val="Appelnotedebasdep"/>
        </w:rPr>
        <w:footnoteRef/>
        <w:t xml:space="preserve"> </w:t>
      </w:r>
      <w:r>
        <w:rPr/>
        <w:t xml:space="preserve"> IX, 4-2 ; XVI, 12. Comp. VII, 12 ; VIII, 5 et suiv. ; IX, et en général IX-XI. Ces prosopopées de la Sagesse personnifiée se trouvent dans des livres bien plus anciens. </w:t>
      </w:r>
      <w:r>
        <w:rPr>
          <w:i/>
        </w:rPr>
        <w:t xml:space="preserve">Prov.</w:t>
      </w:r>
      <w:r>
        <w:rPr/>
        <w:t xml:space="preserve">, VIII, IX ; </w:t>
      </w:r>
      <w:r>
        <w:rPr>
          <w:i/>
        </w:rPr>
        <w:t xml:space="preserve">Job</w:t>
      </w:r>
      <w:r>
        <w:rPr/>
        <w:t xml:space="preserve">, XXVIII.</w:t>
      </w:r>
    </w:p>
  </w:footnote>
  <w:footnote w:id="721">
    <w:p>
      <w:pPr>
        <w:pStyle w:val="Notedebasdepage"/>
      </w:pPr>
      <w:r>
        <w:rPr>
          <w:rStyle w:val="Appelnotedebasdep"/>
        </w:rPr>
        <w:footnoteRef/>
        <w:t xml:space="preserve"> </w:t>
      </w:r>
      <w:r>
        <w:rPr/>
        <w:t xml:space="preserve"> Jean, Évang., </w:t>
      </w:r>
      <w:r>
        <w:rPr/>
        <w:t xml:space="preserve">i</w:t>
      </w:r>
      <w:r>
        <w:rPr/>
        <w:t xml:space="preserve">, 1-14 ; I Épître, V, 7 ; </w:t>
      </w:r>
      <w:r>
        <w:rPr>
          <w:i/>
        </w:rPr>
        <w:t xml:space="preserve">Apoc.</w:t>
      </w:r>
      <w:r>
        <w:rPr/>
        <w:t xml:space="preserve">, XIX, 13. On remarquera, du reste, que, dans l’évangile de Jean, l’expression de « Verbe » ne revient pas hors du prologue, et que jamais le narrateur ne la place dans la bouche de Jésus.</w:t>
      </w:r>
    </w:p>
  </w:footnote>
  <w:footnote w:id="722">
    <w:p>
      <w:pPr>
        <w:pStyle w:val="Notedebasdepage"/>
      </w:pPr>
      <w:r>
        <w:rPr>
          <w:rStyle w:val="Appelnotedebasdep"/>
        </w:rPr>
        <w:footnoteRef/>
        <w:t xml:space="preserve"> </w:t>
      </w:r>
      <w:r>
        <w:rPr>
          <w:i/>
        </w:rPr>
        <w:t xml:space="preserve">Act.</w:t>
      </w:r>
      <w:r>
        <w:rPr/>
        <w:t xml:space="preserve">, X, 42.</w:t>
      </w:r>
    </w:p>
  </w:footnote>
  <w:footnote w:id="723">
    <w:p>
      <w:pPr>
        <w:pStyle w:val="Notedebasdepage"/>
      </w:pPr>
      <w:r>
        <w:rPr>
          <w:rStyle w:val="Appelnotedebasdep"/>
        </w:rPr>
        <w:footnoteRef/>
        <w:t xml:space="preserve"> </w:t>
      </w:r>
      <w:r>
        <w:rPr/>
        <w:t xml:space="preserve"> Matth., XXVI, 64 ; Marc, XVI, 19 ; Luc, XXII, 69 ; </w:t>
      </w:r>
      <w:r>
        <w:rPr>
          <w:i/>
        </w:rPr>
        <w:t xml:space="preserve">Act.</w:t>
      </w:r>
      <w:r>
        <w:rPr/>
        <w:t xml:space="preserve">, VII, 55 ; Rom., VIII, 34 ; Ephés., </w:t>
      </w:r>
      <w:r>
        <w:rPr/>
        <w:t xml:space="preserve">i</w:t>
      </w:r>
      <w:r>
        <w:rPr/>
        <w:t xml:space="preserve">, 20 ; Coloss., III, 4 ; Hébr., </w:t>
      </w:r>
      <w:r>
        <w:rPr/>
        <w:t xml:space="preserve">i</w:t>
      </w:r>
      <w:r>
        <w:rPr/>
        <w:t xml:space="preserve">, 3, 13 ; VIII, 1 ; X, 12 ; XII, 2 ; I de S. Pierre, in, 22. V. les passages précités sur le rôle du </w:t>
      </w:r>
      <w:r>
        <w:rPr>
          <w:i/>
        </w:rPr>
        <w:t xml:space="preserve">Métatrône</w:t>
      </w:r>
      <w:r>
        <w:rPr/>
        <w:t xml:space="preserve"> juif.</w:t>
      </w:r>
    </w:p>
  </w:footnote>
  <w:footnote w:id="724">
    <w:p>
      <w:pPr>
        <w:pStyle w:val="Notedebasdepage"/>
      </w:pPr>
      <w:r>
        <w:rPr>
          <w:rStyle w:val="Appelnotedebasdep"/>
        </w:rPr>
        <w:footnoteRef/>
        <w:t xml:space="preserve"> </w:t>
      </w:r>
      <w:r>
        <w:rPr/>
        <w:t xml:space="preserve"> Matth., X, </w:t>
      </w:r>
      <w:r>
        <w:rPr/>
        <w:t xml:space="preserve">v</w:t>
      </w:r>
      <w:r>
        <w:rPr/>
        <w:t xml:space="preserve">, comparé à XXVIII, 19.</w:t>
      </w:r>
    </w:p>
  </w:footnote>
  <w:footnote w:id="725">
    <w:p>
      <w:pPr>
        <w:pStyle w:val="Notedebasdepage"/>
      </w:pPr>
      <w:r>
        <w:rPr>
          <w:rStyle w:val="Appelnotedebasdep"/>
        </w:rPr>
        <w:footnoteRef/>
        <w:t xml:space="preserve"> </w:t>
      </w:r>
      <w:r>
        <w:rPr/>
        <w:t xml:space="preserve">Matth., XXVI, 39 ; Jean, XII, 27.</w:t>
      </w:r>
    </w:p>
  </w:footnote>
  <w:footnote w:id="726">
    <w:p>
      <w:pPr>
        <w:pStyle w:val="Notedebasdepage"/>
      </w:pPr>
      <w:r>
        <w:rPr>
          <w:rStyle w:val="Appelnotedebasdep"/>
        </w:rPr>
        <w:footnoteRef/>
        <w:t xml:space="preserve"> </w:t>
      </w:r>
      <w:r>
        <w:rPr/>
        <w:t xml:space="preserve">Marc, XIII, 32.</w:t>
      </w:r>
    </w:p>
  </w:footnote>
  <w:footnote w:id="727">
    <w:p>
      <w:pPr>
        <w:pStyle w:val="Notedebasdepage"/>
      </w:pPr>
      <w:r>
        <w:rPr>
          <w:rStyle w:val="Appelnotedebasdep"/>
        </w:rPr>
        <w:footnoteRef/>
        <w:t xml:space="preserve"> </w:t>
      </w:r>
      <w:r>
        <w:rPr/>
        <w:t xml:space="preserve">Matth., XII, 14-16 ; XIV, 13 ; Marc, III, 6-7 ; IX, 29-30 ; Jean, VII, 1 et suiv.</w:t>
      </w:r>
    </w:p>
  </w:footnote>
  <w:footnote w:id="728">
    <w:p>
      <w:pPr>
        <w:pStyle w:val="Notedebasdepage"/>
      </w:pPr>
      <w:r>
        <w:rPr>
          <w:rStyle w:val="Appelnotedebasdep"/>
        </w:rPr>
        <w:footnoteRef/>
        <w:t xml:space="preserve"> </w:t>
      </w:r>
      <w:r>
        <w:rPr/>
        <w:t xml:space="preserve">Matth., II, 20.</w:t>
      </w:r>
    </w:p>
  </w:footnote>
  <w:footnote w:id="729">
    <w:p>
      <w:pPr>
        <w:pStyle w:val="Notedebasdepage"/>
      </w:pPr>
      <w:r>
        <w:rPr>
          <w:rStyle w:val="Appelnotedebasdep"/>
        </w:rPr>
        <w:footnoteRef/>
        <w:t xml:space="preserve"> </w:t>
      </w:r>
      <w:r>
        <w:rPr/>
        <w:t xml:space="preserve">Matth., XVII, 20 ; Marc, IX, 25.</w:t>
      </w:r>
    </w:p>
  </w:footnote>
  <w:footnote w:id="730">
    <w:p>
      <w:pPr>
        <w:pStyle w:val="Notedebasdepage"/>
      </w:pPr>
      <w:r>
        <w:rPr>
          <w:rStyle w:val="Appelnotedebasdep"/>
        </w:rPr>
        <w:footnoteRef/>
        <w:t xml:space="preserve"> </w:t>
      </w:r>
      <w:r>
        <w:rPr/>
        <w:t xml:space="preserve">Luc, 45-46 ; Jean, XI, 33, 38</w:t>
      </w:r>
    </w:p>
  </w:footnote>
  <w:footnote w:id="731">
    <w:p>
      <w:pPr>
        <w:pStyle w:val="Notedebasdepage"/>
      </w:pPr>
      <w:r>
        <w:rPr>
          <w:rStyle w:val="Appelnotedebasdep"/>
        </w:rPr>
        <w:footnoteRef/>
        <w:t xml:space="preserve"> </w:t>
      </w:r>
      <w:r>
        <w:rPr>
          <w:i/>
        </w:rPr>
        <w:t xml:space="preserve">Act.</w:t>
      </w:r>
      <w:r>
        <w:rPr/>
        <w:t xml:space="preserve">, II, 22.</w:t>
      </w:r>
    </w:p>
  </w:footnote>
  <w:footnote w:id="732">
    <w:p>
      <w:pPr>
        <w:pStyle w:val="Notedebasdepage"/>
      </w:pPr>
      <w:r>
        <w:rPr>
          <w:rStyle w:val="Appelnotedebasdep"/>
        </w:rPr>
        <w:footnoteRef/>
        <w:t xml:space="preserve"> </w:t>
      </w:r>
      <w:r>
        <w:rPr/>
        <w:t xml:space="preserve">Matth., XIV, 2 ; XVI, 14 ; XVII, 3 et suiv. ; Marc, VI, 14-15 ; VIII, 28 ; Luc, IX, 8 et suiv., 19.</w:t>
      </w:r>
    </w:p>
  </w:footnote>
  <w:footnote w:id="733">
    <w:p>
      <w:pPr>
        <w:pStyle w:val="Notedebasdepage"/>
      </w:pPr>
      <w:r>
        <w:rPr>
          <w:rStyle w:val="Appelnotedebasdep"/>
        </w:rPr>
        <w:footnoteRef/>
        <w:t xml:space="preserve"> </w:t>
      </w:r>
      <w:r>
        <w:rPr/>
        <w:t xml:space="preserve"> Par exemple, Matth., </w:t>
      </w:r>
      <w:r>
        <w:rPr/>
        <w:t xml:space="preserve">i</w:t>
      </w:r>
      <w:r>
        <w:rPr/>
        <w:t xml:space="preserve">, 22 ; II, 5-6, 15, 18 ; IV, 15.</w:t>
      </w:r>
    </w:p>
  </w:footnote>
  <w:footnote w:id="734">
    <w:p>
      <w:pPr>
        <w:pStyle w:val="Notedebasdepage"/>
      </w:pPr>
      <w:r>
        <w:rPr>
          <w:rStyle w:val="Appelnotedebasdep"/>
        </w:rPr>
        <w:footnoteRef/>
        <w:t xml:space="preserve"> </w:t>
      </w:r>
      <w:r>
        <w:rPr/>
        <w:t xml:space="preserve">Matth., I, 23 ; IV, 6, 14 ; XXVI, 31, 54, 56 ; XXVII, 9, 35 ; Marc, XIV, 27 ; XV, 28 ; Jean, XII, 14-15 ; XVIII, 9 ; XIX, 19, 24, 28, 36.</w:t>
      </w:r>
    </w:p>
  </w:footnote>
  <w:footnote w:id="735">
    <w:p>
      <w:pPr>
        <w:pStyle w:val="Notedebasdepage"/>
      </w:pPr>
      <w:r>
        <w:rPr>
          <w:rStyle w:val="Appelnotedebasdep"/>
        </w:rPr>
        <w:footnoteRef/>
        <w:t xml:space="preserve"> </w:t>
      </w:r>
      <w:r>
        <w:rPr/>
        <w:t xml:space="preserve"> Jean, VII, 34 ; </w:t>
      </w:r>
      <w:r>
        <w:rPr>
          <w:i/>
        </w:rPr>
        <w:t xml:space="preserve">IV Esdras</w:t>
      </w:r>
      <w:r>
        <w:rPr/>
        <w:t xml:space="preserve">, XIII, 50.</w:t>
      </w:r>
    </w:p>
  </w:footnote>
  <w:footnote w:id="736">
    <w:p>
      <w:pPr>
        <w:pStyle w:val="Notedebasdepage"/>
      </w:pPr>
      <w:r>
        <w:rPr>
          <w:rStyle w:val="Appelnotedebasdep"/>
        </w:rPr>
        <w:footnoteRef/>
        <w:t xml:space="preserve"> </w:t>
      </w:r>
      <w:r>
        <w:rPr>
          <w:i/>
        </w:rPr>
        <w:t xml:space="preserve">Act</w:t>
      </w:r>
      <w:r>
        <w:rPr/>
        <w:t xml:space="preserve">., VIII, 9 et suiv.</w:t>
      </w:r>
    </w:p>
  </w:footnote>
  <w:footnote w:id="737">
    <w:p>
      <w:pPr>
        <w:pStyle w:val="Notedebasdepage"/>
      </w:pPr>
      <w:r>
        <w:rPr>
          <w:rStyle w:val="Appelnotedebasdep"/>
        </w:rPr>
        <w:footnoteRef/>
        <w:t xml:space="preserve"> </w:t>
      </w:r>
      <w:r>
        <w:rPr/>
        <w:t xml:space="preserve">Voir sa biographie par Philostrate.</w:t>
      </w:r>
    </w:p>
  </w:footnote>
  <w:footnote w:id="738">
    <w:p>
      <w:pPr>
        <w:pStyle w:val="Notedebasdepage"/>
      </w:pPr>
      <w:r>
        <w:rPr>
          <w:rStyle w:val="Appelnotedebasdep"/>
        </w:rPr>
        <w:footnoteRef/>
        <w:t xml:space="preserve"> </w:t>
      </w:r>
      <w:r>
        <w:rPr/>
        <w:t xml:space="preserve">Voir les Vies des sophistes, par Eunape ; la Vie de Plotin, par Porphyre ; celle de Proclus, par Marinus ; celle d’Isidore attribuée à Damascius.</w:t>
      </w:r>
    </w:p>
  </w:footnote>
  <w:footnote w:id="739">
    <w:p>
      <w:pPr>
        <w:pStyle w:val="Notedebasdepage"/>
      </w:pPr>
      <w:r>
        <w:rPr>
          <w:rStyle w:val="Appelnotedebasdep"/>
        </w:rPr>
        <w:footnoteRef/>
        <w:t xml:space="preserve"> </w:t>
      </w:r>
      <w:r>
        <w:rPr/>
        <w:t xml:space="preserve">Matth., XVII, 19 ; XXI, 21-22 ; Marc, XI, 23-24.</w:t>
      </w:r>
    </w:p>
  </w:footnote>
  <w:footnote w:id="740">
    <w:p>
      <w:pPr>
        <w:pStyle w:val="Notedebasdepage"/>
      </w:pPr>
      <w:r>
        <w:rPr>
          <w:rStyle w:val="Appelnotedebasdep"/>
        </w:rPr>
        <w:footnoteRef/>
        <w:t xml:space="preserve"> </w:t>
      </w:r>
      <w:r>
        <w:rPr/>
        <w:t xml:space="preserve">Matth., IX, 8.</w:t>
      </w:r>
    </w:p>
  </w:footnote>
  <w:footnote w:id="741">
    <w:p>
      <w:pPr>
        <w:pStyle w:val="Notedebasdepage"/>
      </w:pPr>
      <w:r>
        <w:rPr>
          <w:rStyle w:val="Appelnotedebasdep"/>
        </w:rPr>
        <w:footnoteRef/>
        <w:t xml:space="preserve"> </w:t>
      </w:r>
      <w:r>
        <w:rPr/>
        <w:t xml:space="preserve">Luc, VIII, 48-46 ; Jean, XI, 33, 38.</w:t>
      </w:r>
    </w:p>
  </w:footnote>
  <w:footnote w:id="742">
    <w:p>
      <w:pPr>
        <w:pStyle w:val="Notedebasdepage"/>
      </w:pPr>
      <w:r>
        <w:rPr>
          <w:rStyle w:val="Appelnotedebasdep"/>
        </w:rPr>
        <w:footnoteRef/>
        <w:t xml:space="preserve"> </w:t>
      </w:r>
      <w:r>
        <w:rPr>
          <w:i/>
        </w:rPr>
        <w:t xml:space="preserve">Act.</w:t>
      </w:r>
      <w:r>
        <w:rPr/>
        <w:t xml:space="preserve">, II, 2 et suiv. ; IV, 31 ; VIII, 15 et suiv. ; X, 44 et suiv. Pendant près d’un siècle, les apôtres et leurs disciples ne rêvent que miracles. Voir les </w:t>
      </w:r>
      <w:r>
        <w:rPr>
          <w:i/>
        </w:rPr>
        <w:t xml:space="preserve">Actes</w:t>
      </w:r>
      <w:r>
        <w:rPr/>
        <w:t xml:space="preserve">, les écrits de S. Paul, les extraits de Papias, dans Eusèbe, </w:t>
      </w:r>
      <w:r>
        <w:rPr>
          <w:i/>
        </w:rPr>
        <w:t xml:space="preserve">Hist. eccl.</w:t>
      </w:r>
      <w:r>
        <w:rPr/>
        <w:t xml:space="preserve">, III, 39, etc. Comp. Marc, III, 15 ; XVI, 17-18, 20.</w:t>
      </w:r>
    </w:p>
  </w:footnote>
  <w:footnote w:id="743">
    <w:p>
      <w:pPr>
        <w:pStyle w:val="Notedebasdepage"/>
      </w:pPr>
      <w:r>
        <w:rPr>
          <w:rStyle w:val="Appelnotedebasdep"/>
        </w:rPr>
        <w:footnoteRef/>
        <w:t xml:space="preserve"> </w:t>
      </w:r>
      <w:r>
        <w:rPr/>
        <w:t xml:space="preserve">Jean, V, 14 ; IX ; 1 et suiv., 34.</w:t>
      </w:r>
    </w:p>
  </w:footnote>
  <w:footnote w:id="744">
    <w:p>
      <w:pPr>
        <w:pStyle w:val="Notedebasdepage"/>
      </w:pPr>
      <w:r>
        <w:rPr>
          <w:rStyle w:val="Appelnotedebasdep"/>
        </w:rPr>
        <w:footnoteRef/>
        <w:t xml:space="preserve"> </w:t>
      </w:r>
      <w:r>
        <w:rPr/>
        <w:t xml:space="preserve">Matth., IX, 32-33 ; XII, 22 ; Luc, XIII, 11, 16.</w:t>
      </w:r>
    </w:p>
  </w:footnote>
  <w:footnote w:id="745">
    <w:p>
      <w:pPr>
        <w:pStyle w:val="Notedebasdepage"/>
      </w:pPr>
      <w:r>
        <w:rPr>
          <w:rStyle w:val="Appelnotedebasdep"/>
        </w:rPr>
        <w:footnoteRef/>
        <w:t xml:space="preserve"> </w:t>
      </w:r>
      <w:r>
        <w:rPr/>
        <w:t xml:space="preserve">Luc, VIII, 45-46.</w:t>
      </w:r>
    </w:p>
  </w:footnote>
  <w:footnote w:id="746">
    <w:p>
      <w:pPr>
        <w:pStyle w:val="Notedebasdepage"/>
      </w:pPr>
      <w:r>
        <w:rPr>
          <w:rStyle w:val="Appelnotedebasdep"/>
        </w:rPr>
        <w:footnoteRef/>
        <w:t xml:space="preserve"> </w:t>
      </w:r>
      <w:r>
        <w:rPr/>
        <w:t xml:space="preserve">Luc, IV, 40.</w:t>
      </w:r>
    </w:p>
  </w:footnote>
  <w:footnote w:id="747">
    <w:p>
      <w:pPr>
        <w:pStyle w:val="Notedebasdepage"/>
      </w:pPr>
      <w:r>
        <w:rPr>
          <w:rStyle w:val="Appelnotedebasdep"/>
        </w:rPr>
        <w:footnoteRef/>
        <w:t xml:space="preserve"> </w:t>
      </w:r>
      <w:r>
        <w:rPr/>
        <w:t xml:space="preserve">Matth., XI, 5 ; XV, 30-34 ; Luc, IX, 1-2, 6.</w:t>
      </w:r>
    </w:p>
  </w:footnote>
  <w:footnote w:id="748">
    <w:p>
      <w:pPr>
        <w:pStyle w:val="Notedebasdepage"/>
      </w:pPr>
      <w:r>
        <w:rPr>
          <w:rStyle w:val="Appelnotedebasdep"/>
        </w:rPr>
        <w:footnoteRef/>
        <w:t xml:space="preserve"> </w:t>
      </w:r>
      <w:r>
        <w:rPr>
          <w:i/>
        </w:rPr>
        <w:t xml:space="preserve">Vendidad</w:t>
      </w:r>
      <w:r>
        <w:rPr/>
        <w:t xml:space="preserve">, XI, 26 ; </w:t>
      </w:r>
      <w:r>
        <w:rPr>
          <w:i/>
        </w:rPr>
        <w:t xml:space="preserve">Yaçna</w:t>
      </w:r>
      <w:r>
        <w:rPr/>
        <w:t xml:space="preserve">, X, 18.</w:t>
      </w:r>
    </w:p>
  </w:footnote>
  <w:footnote w:id="749">
    <w:p>
      <w:pPr>
        <w:pStyle w:val="Notedebasdepage"/>
      </w:pPr>
      <w:r>
        <w:rPr>
          <w:rStyle w:val="Appelnotedebasdep"/>
        </w:rPr>
        <w:footnoteRef/>
        <w:t xml:space="preserve"> </w:t>
      </w:r>
      <w:r>
        <w:rPr>
          <w:i/>
        </w:rPr>
        <w:t xml:space="preserve">Tobie</w:t>
      </w:r>
      <w:r>
        <w:rPr/>
        <w:t xml:space="preserve">, III, 8 ; VI, 14 ; Talm. de Bab., </w:t>
      </w:r>
      <w:r>
        <w:rPr>
          <w:i/>
        </w:rPr>
        <w:t xml:space="preserve">Gittin</w:t>
      </w:r>
      <w:r>
        <w:rPr/>
        <w:t xml:space="preserve">, 68 </w:t>
      </w:r>
      <w:r>
        <w:rPr>
          <w:i/>
        </w:rPr>
        <w:t xml:space="preserve">a</w:t>
      </w:r>
      <w:r>
        <w:rPr/>
        <w:t xml:space="preserve">.</w:t>
      </w:r>
    </w:p>
  </w:footnote>
  <w:footnote w:id="750">
    <w:p>
      <w:pPr>
        <w:pStyle w:val="Notedebasdepage"/>
      </w:pPr>
      <w:r>
        <w:rPr>
          <w:rStyle w:val="Appelnotedebasdep"/>
        </w:rPr>
        <w:footnoteRef/>
        <w:t xml:space="preserve"> </w:t>
      </w:r>
      <w:r>
        <w:rPr/>
        <w:t xml:space="preserve"> Comp. Marc, XVI, 9 ; Luc, VIII, 2 ; </w:t>
      </w:r>
      <w:r>
        <w:rPr>
          <w:i/>
        </w:rPr>
        <w:t xml:space="preserve">Évangile de l’Enfance</w:t>
      </w:r>
      <w:r>
        <w:rPr/>
        <w:t xml:space="preserve">, 16, 33 ; Code syrien, publié dans les </w:t>
      </w:r>
      <w:r>
        <w:rPr>
          <w:i/>
        </w:rPr>
        <w:t xml:space="preserve">Anecdota syriaca</w:t>
      </w:r>
      <w:r>
        <w:rPr/>
        <w:t xml:space="preserve"> de M. Land, I, p. 152.</w:t>
      </w:r>
    </w:p>
  </w:footnote>
  <w:footnote w:id="751">
    <w:p>
      <w:pPr>
        <w:pStyle w:val="Notedebasdepage"/>
      </w:pPr>
      <w:r>
        <w:rPr>
          <w:rStyle w:val="Appelnotedebasdep"/>
        </w:rPr>
        <w:footnoteRef/>
        <w:t xml:space="preserve"> </w:t>
      </w:r>
      <w:r>
        <w:rPr/>
        <w:t xml:space="preserve"> Jos., </w:t>
      </w:r>
      <w:r>
        <w:rPr>
          <w:i/>
        </w:rPr>
        <w:t xml:space="preserve">Bell. jud</w:t>
      </w:r>
      <w:r>
        <w:rPr/>
        <w:t xml:space="preserve">., VII, </w:t>
      </w:r>
      <w:r>
        <w:rPr/>
        <w:t xml:space="preserve">vi</w:t>
      </w:r>
      <w:r>
        <w:rPr/>
        <w:t xml:space="preserve">, 3 ; Lucien, </w:t>
      </w:r>
      <w:r>
        <w:rPr>
          <w:i/>
        </w:rPr>
        <w:t xml:space="preserve">Philopseud</w:t>
      </w:r>
      <w:r>
        <w:rPr/>
        <w:t xml:space="preserve">., 16 ; Philostrate, </w:t>
      </w:r>
      <w:r>
        <w:rPr>
          <w:i/>
        </w:rPr>
        <w:t xml:space="preserve">Vie d’Apoll.</w:t>
      </w:r>
      <w:r>
        <w:rPr/>
        <w:t xml:space="preserve">, III, 38 ; IV, 20 ; Arétée, </w:t>
      </w:r>
      <w:r>
        <w:rPr>
          <w:i/>
        </w:rPr>
        <w:t xml:space="preserve">De causis morb. chron.</w:t>
      </w:r>
      <w:r>
        <w:rPr/>
        <w:t xml:space="preserve">, I, 4.</w:t>
      </w:r>
    </w:p>
  </w:footnote>
  <w:footnote w:id="752">
    <w:p>
      <w:pPr>
        <w:pStyle w:val="Notedebasdepage"/>
      </w:pPr>
      <w:r>
        <w:rPr>
          <w:rStyle w:val="Appelnotedebasdep"/>
        </w:rPr>
        <w:footnoteRef/>
        <w:t xml:space="preserve"> </w:t>
      </w:r>
      <w:r>
        <w:rPr/>
        <w:t xml:space="preserve">Matth., IX, 33 ; XII, 22 ; Marc, IX, 16, 24 ; Luc, XI, 14.</w:t>
      </w:r>
    </w:p>
  </w:footnote>
  <w:footnote w:id="753">
    <w:p>
      <w:pPr>
        <w:pStyle w:val="Notedebasdepage"/>
      </w:pPr>
      <w:r>
        <w:rPr>
          <w:rStyle w:val="Appelnotedebasdep"/>
        </w:rPr>
        <w:footnoteRef/>
        <w:t xml:space="preserve"> </w:t>
      </w:r>
      <w:r>
        <w:rPr>
          <w:i/>
        </w:rPr>
        <w:t xml:space="preserve">Tobie</w:t>
      </w:r>
      <w:r>
        <w:rPr/>
        <w:t xml:space="preserve">, VIII, 2-3 ; Matth., XII, 27 ; Marc, IX, 38 ; </w:t>
      </w:r>
      <w:r>
        <w:rPr>
          <w:i/>
        </w:rPr>
        <w:t xml:space="preserve">Act.</w:t>
      </w:r>
      <w:r>
        <w:rPr/>
        <w:t xml:space="preserve">, XIX, 33 ; Josèphe, </w:t>
      </w:r>
      <w:r>
        <w:rPr>
          <w:i/>
        </w:rPr>
        <w:t xml:space="preserve">Ant.</w:t>
      </w:r>
      <w:r>
        <w:rPr/>
        <w:t xml:space="preserve">, VIII, II, 5 ; Justin, </w:t>
      </w:r>
      <w:r>
        <w:rPr>
          <w:i/>
        </w:rPr>
        <w:t xml:space="preserve">Dial. cum Tryphone</w:t>
      </w:r>
      <w:r>
        <w:rPr/>
        <w:t xml:space="preserve">, 85 ; Lucien, Épigr. XXIII (XVII Dindorf.)</w:t>
      </w:r>
    </w:p>
  </w:footnote>
  <w:footnote w:id="754">
    <w:p>
      <w:pPr>
        <w:pStyle w:val="Notedebasdepage"/>
      </w:pPr>
      <w:r>
        <w:rPr>
          <w:rStyle w:val="Appelnotedebasdep"/>
        </w:rPr>
        <w:footnoteRef/>
        <w:t xml:space="preserve"> </w:t>
      </w:r>
      <w:r>
        <w:rPr/>
        <w:t xml:space="preserve">Matth., XVII, 20 ; Marc, IX, 24 et suiv.</w:t>
      </w:r>
    </w:p>
  </w:footnote>
  <w:footnote w:id="755">
    <w:p>
      <w:pPr>
        <w:pStyle w:val="Notedebasdepage"/>
      </w:pPr>
      <w:r>
        <w:rPr>
          <w:rStyle w:val="Appelnotedebasdep"/>
        </w:rPr>
        <w:footnoteRef/>
        <w:t xml:space="preserve"> </w:t>
      </w:r>
      <w:r>
        <w:rPr/>
        <w:t xml:space="preserve">Matth., VIII, 28 ; IX, 34 ; XII, 43 et suiv. ; XVII, 14 et suiv., 20 ; Marc, V, 1 et suiv. ; Luc, VIII, 27 et suiv.</w:t>
      </w:r>
    </w:p>
  </w:footnote>
  <w:footnote w:id="756">
    <w:p>
      <w:pPr>
        <w:pStyle w:val="Notedebasdepage"/>
      </w:pPr>
      <w:r>
        <w:rPr>
          <w:rStyle w:val="Appelnotedebasdep"/>
        </w:rPr>
        <w:footnoteRef/>
        <w:t xml:space="preserve"> </w:t>
      </w:r>
      <w:r>
        <w:rPr/>
        <w:t xml:space="preserve"> Cette phrase, </w:t>
      </w:r>
      <w:r>
        <w:rPr>
          <w:i/>
        </w:rPr>
        <w:t xml:space="preserve">Dæmonium habes</w:t>
      </w:r>
      <w:r>
        <w:rPr/>
        <w:t xml:space="preserve"> (Matth., XI, 18 ; Luc, VII, 33 ; Jean, VII, 20 ; VIII, 48 et suiv. ; X, 20 et suiv.), doit se traduire par : « Tu es fou », comme on dirait en arabe : </w:t>
      </w:r>
      <w:r>
        <w:rPr>
          <w:i/>
        </w:rPr>
        <w:t xml:space="preserve">Medjnoun enté</w:t>
      </w:r>
      <w:r>
        <w:rPr/>
        <w:t xml:space="preserve">. Le verbe [Greek : daimonan] a aussi, dans toute l’antiquité classique, le sens de « être fou. »</w:t>
      </w:r>
    </w:p>
  </w:footnote>
  <w:footnote w:id="757">
    <w:p>
      <w:pPr>
        <w:pStyle w:val="Notedebasdepage"/>
      </w:pPr>
      <w:r>
        <w:rPr>
          <w:rStyle w:val="Appelnotedebasdep"/>
        </w:rPr>
        <w:footnoteRef/>
        <w:t xml:space="preserve"> </w:t>
      </w:r>
      <w:r>
        <w:rPr/>
        <w:t xml:space="preserve">Matth., XII, 39 ; XVI, 4 ; XVII, 16 ; Marc, VIII, 17 et suiv., IX, 18 ; Luc, IX, 41.</w:t>
      </w:r>
    </w:p>
  </w:footnote>
  <w:footnote w:id="758">
    <w:p>
      <w:pPr>
        <w:pStyle w:val="Notedebasdepage"/>
      </w:pPr>
      <w:r>
        <w:rPr>
          <w:rStyle w:val="Appelnotedebasdep"/>
        </w:rPr>
        <w:footnoteRef/>
        <w:t xml:space="preserve"> </w:t>
      </w:r>
      <w:r>
        <w:rPr/>
        <w:t xml:space="preserve"> Matth., VIII, 4 ; IX, 30-31 ; XII, 16 et suiv. ; Marc, </w:t>
      </w:r>
      <w:r>
        <w:rPr/>
        <w:t xml:space="preserve">i</w:t>
      </w:r>
      <w:r>
        <w:rPr/>
        <w:t xml:space="preserve">, 44 ; VII 24 et suiv. ; VIII, 26.</w:t>
      </w:r>
    </w:p>
  </w:footnote>
  <w:footnote w:id="759">
    <w:p>
      <w:pPr>
        <w:pStyle w:val="Notedebasdepage"/>
      </w:pPr>
      <w:r>
        <w:rPr>
          <w:rStyle w:val="Appelnotedebasdep"/>
        </w:rPr>
        <w:footnoteRef/>
        <w:t xml:space="preserve"> </w:t>
      </w:r>
      <w:r>
        <w:rPr/>
        <w:t xml:space="preserve"> Marc, </w:t>
      </w:r>
      <w:r>
        <w:rPr/>
        <w:t xml:space="preserve">i</w:t>
      </w:r>
      <w:r>
        <w:rPr/>
        <w:t xml:space="preserve">, 24-25, 34 ; III, 12 ; Luc, IV, 41.</w:t>
      </w:r>
    </w:p>
  </w:footnote>
  <w:footnote w:id="760">
    <w:p>
      <w:pPr>
        <w:pStyle w:val="Notedebasdepage"/>
      </w:pPr>
      <w:r>
        <w:rPr>
          <w:rStyle w:val="Appelnotedebasdep"/>
        </w:rPr>
        <w:footnoteRef/>
        <w:t xml:space="preserve"> </w:t>
      </w:r>
      <w:r>
        <w:rPr/>
        <w:t xml:space="preserve">Matth., XVII, 16 ; Marc, IX, 18 ; Luc, IX, 41.</w:t>
      </w:r>
    </w:p>
  </w:footnote>
  <w:footnote w:id="761">
    <w:p>
      <w:pPr>
        <w:pStyle w:val="Notedebasdepage"/>
      </w:pPr>
      <w:r>
        <w:rPr>
          <w:rStyle w:val="Appelnotedebasdep"/>
        </w:rPr>
        <w:footnoteRef/>
        <w:t xml:space="preserve"> </w:t>
      </w:r>
      <w:r>
        <w:rPr/>
        <w:t xml:space="preserve">Matth., XII, 38 et suiv. ; XVI, 1 et suiv. ; Marc, VIII, 11.</w:t>
      </w:r>
    </w:p>
  </w:footnote>
  <w:footnote w:id="762">
    <w:p>
      <w:pPr>
        <w:pStyle w:val="Notedebasdepage"/>
      </w:pPr>
      <w:r>
        <w:rPr>
          <w:rStyle w:val="Appelnotedebasdep"/>
        </w:rPr>
        <w:footnoteRef/>
        <w:t xml:space="preserve"> </w:t>
      </w:r>
      <w:r>
        <w:rPr/>
        <w:t xml:space="preserve"> Josèphe, </w:t>
      </w:r>
      <w:r>
        <w:rPr>
          <w:i/>
        </w:rPr>
        <w:t xml:space="preserve">Ant</w:t>
      </w:r>
      <w:r>
        <w:rPr/>
        <w:t xml:space="preserve">., XVIII, </w:t>
      </w:r>
      <w:r>
        <w:rPr/>
        <w:t xml:space="preserve">iii</w:t>
      </w:r>
      <w:r>
        <w:rPr/>
        <w:t xml:space="preserve">, 3.</w:t>
      </w:r>
    </w:p>
  </w:footnote>
  <w:footnote w:id="763">
    <w:p>
      <w:pPr>
        <w:pStyle w:val="Notedebasdepage"/>
      </w:pPr>
      <w:r>
        <w:rPr>
          <w:rStyle w:val="Appelnotedebasdep"/>
        </w:rPr>
        <w:footnoteRef/>
        <w:t xml:space="preserve"> </w:t>
      </w:r>
      <w:r>
        <w:rPr/>
        <w:t xml:space="preserve"> Papias, dans Eusèbe, </w:t>
      </w:r>
      <w:r>
        <w:rPr>
          <w:i/>
        </w:rPr>
        <w:t xml:space="preserve">Hist. eccl</w:t>
      </w:r>
      <w:r>
        <w:rPr/>
        <w:t xml:space="preserve">., III, 39.</w:t>
      </w:r>
    </w:p>
  </w:footnote>
  <w:footnote w:id="764">
    <w:p>
      <w:pPr>
        <w:pStyle w:val="Notedebasdepage"/>
      </w:pPr>
      <w:r>
        <w:rPr>
          <w:rStyle w:val="Appelnotedebasdep"/>
        </w:rPr>
        <w:footnoteRef/>
        <w:t xml:space="preserve"> </w:t>
      </w:r>
      <w:r>
        <w:rPr/>
        <w:t xml:space="preserve"> Marc, IV, 40 ; V, 15, 17, 33, 36 ; VI, 50 ; X, 32. Cf. Matth., VIII, 27, 34 ; IX, 8 ; XIV, 27 ; XVII, 6-7 ; XXXVIII, 5, 10 ; Luc, IV, 36 ; V, 17 ; VIII, 25, 35, 37 ; IX, 34. L’Évangile apocryphe dit de Thomas l’Israélite porte ce trait jusqu’à la plus choquante absurdité. Comparez les </w:t>
      </w:r>
      <w:r>
        <w:rPr>
          <w:i/>
        </w:rPr>
        <w:t xml:space="preserve">Miracles de l’enfance</w:t>
      </w:r>
      <w:r>
        <w:rPr/>
        <w:t xml:space="preserve">, dans Thilo, </w:t>
      </w:r>
      <w:r>
        <w:rPr>
          <w:i/>
        </w:rPr>
        <w:t xml:space="preserve">Cod. apocr. N. T</w:t>
      </w:r>
      <w:r>
        <w:rPr/>
        <w:t xml:space="preserve">., p. CX, note.</w:t>
      </w:r>
    </w:p>
  </w:footnote>
  <w:footnote w:id="765">
    <w:p>
      <w:pPr>
        <w:pStyle w:val="Notedebasdepage"/>
      </w:pPr>
      <w:r>
        <w:rPr>
          <w:rStyle w:val="Appelnotedebasdep"/>
        </w:rPr>
        <w:footnoteRef/>
        <w:t xml:space="preserve"> </w:t>
      </w:r>
      <w:r>
        <w:rPr>
          <w:i/>
        </w:rPr>
        <w:t xml:space="preserve">Hysteria muscularis</w:t>
      </w:r>
      <w:r>
        <w:rPr/>
        <w:t xml:space="preserve"> de Schoenlein.</w:t>
      </w:r>
    </w:p>
  </w:footnote>
  <w:footnote w:id="766">
    <w:p>
      <w:pPr>
        <w:pStyle w:val="Notedebasdepage"/>
      </w:pPr>
      <w:r>
        <w:rPr>
          <w:rStyle w:val="Appelnotedebasdep"/>
        </w:rPr>
        <w:footnoteRef/>
        <w:t xml:space="preserve"> </w:t>
      </w:r>
      <w:r>
        <w:rPr/>
        <w:t xml:space="preserve">Matth., XIV, 1 et suiv. ; Marc, VI, 14 ; Luc, IX, 7 ; XXIII, 8.</w:t>
      </w:r>
    </w:p>
  </w:footnote>
  <w:footnote w:id="767">
    <w:p>
      <w:pPr>
        <w:pStyle w:val="Notedebasdepage"/>
      </w:pPr>
      <w:r>
        <w:rPr>
          <w:rStyle w:val="Appelnotedebasdep"/>
        </w:rPr>
        <w:footnoteRef/>
        <w:t xml:space="preserve"> </w:t>
      </w:r>
      <w:r>
        <w:rPr/>
        <w:t xml:space="preserve">Matth., VIII, 34 ; Marc, V, 17 ; VIII, 37.</w:t>
      </w:r>
    </w:p>
  </w:footnote>
  <w:footnote w:id="768">
    <w:p>
      <w:pPr>
        <w:pStyle w:val="Notedebasdepage"/>
      </w:pPr>
      <w:r>
        <w:rPr>
          <w:rStyle w:val="Appelnotedebasdep"/>
        </w:rPr>
        <w:footnoteRef/>
        <w:t xml:space="preserve"> </w:t>
      </w:r>
      <w:r>
        <w:rPr/>
        <w:t xml:space="preserve">Jean, VI, 14-15.</w:t>
      </w:r>
    </w:p>
  </w:footnote>
  <w:footnote w:id="769">
    <w:p>
      <w:pPr>
        <w:pStyle w:val="Notedebasdepage"/>
      </w:pPr>
      <w:r>
        <w:rPr>
          <w:rStyle w:val="Appelnotedebasdep"/>
        </w:rPr>
        <w:footnoteRef/>
        <w:t xml:space="preserve"> </w:t>
      </w:r>
      <w:r>
        <w:rPr/>
        <w:t xml:space="preserve">Jean, V, 1 ; VII, 2. Nous suivons le système de Jean, d’après lequel la vie publique de Jésus dura trois ans. Les synoptiques, au contraire, groupent tous les faits dans un cadre d’un an.</w:t>
      </w:r>
    </w:p>
  </w:footnote>
  <w:footnote w:id="770">
    <w:p>
      <w:pPr>
        <w:pStyle w:val="Notedebasdepage"/>
      </w:pPr>
      <w:r>
        <w:rPr>
          <w:rStyle w:val="Appelnotedebasdep"/>
        </w:rPr>
        <w:footnoteRef/>
        <w:t xml:space="preserve"> </w:t>
      </w:r>
      <w:r>
        <w:rPr/>
        <w:t xml:space="preserve">Luc, XII, 13-14.</w:t>
      </w:r>
    </w:p>
  </w:footnote>
  <w:footnote w:id="771">
    <w:p>
      <w:pPr>
        <w:pStyle w:val="Notedebasdepage"/>
      </w:pPr>
      <w:r>
        <w:rPr>
          <w:rStyle w:val="Appelnotedebasdep"/>
        </w:rPr>
        <w:footnoteRef/>
        <w:t xml:space="preserve"> </w:t>
      </w:r>
      <w:r>
        <w:rPr/>
        <w:t xml:space="preserve">Matth., XIX, 28.</w:t>
      </w:r>
    </w:p>
  </w:footnote>
  <w:footnote w:id="772">
    <w:p>
      <w:pPr>
        <w:pStyle w:val="Notedebasdepage"/>
      </w:pPr>
      <w:r>
        <w:rPr>
          <w:rStyle w:val="Appelnotedebasdep"/>
        </w:rPr>
        <w:footnoteRef/>
        <w:t xml:space="preserve"> </w:t>
      </w:r>
      <w:r>
        <w:rPr/>
        <w:t xml:space="preserve"> Matth., XXIV, 3 et suiv. ; Marc, XIII, 4 et suiv. ; Luc, XVII, 22. et suiv. ; XXI, 7 et suiv. Il faut remarquer que la peinture de la fin des temps prêtée ici à Jésus par les synoptiques renferme beaucoup de traits qui se rapportent au siège de Jérusalem. Luc écrivait quelque temps après ce siège (XXI, 9,20, 24). La rédaction de Matthieu au contraire (XXVI, 15, 16, 22, 29) nous reporte exactement au moment du siège ou très-peu après. Nul doute, cependant, que Jésus n’annonçât de grandes terreurs comme devant précéder sa réapparition. Ces terreurs étaient une partie intégrante de toutes les apocalypses juives. </w:t>
      </w:r>
      <w:r>
        <w:rPr>
          <w:i/>
        </w:rPr>
        <w:t xml:space="preserve">Hénoch</w:t>
      </w:r>
      <w:r>
        <w:rPr/>
        <w:t xml:space="preserve">, XCIX-C, CII, CIII (division de Dillmann) ; </w:t>
      </w:r>
      <w:r>
        <w:rPr>
          <w:i/>
        </w:rPr>
        <w:t xml:space="preserve">Carm. sibyll</w:t>
      </w:r>
      <w:r>
        <w:rPr/>
        <w:t xml:space="preserve">., III, 334 et suiv. ; 633 et suiv. ; IV, 168 et suiv. ; V, 511 et suiv. Dans Daniel aussi, le règne des Saints ne viendra qu’après que la désolation aura été à son comble (VII, 25 et suiv. ; VIII, 23 et suiv. ; IX, 26-27 ; XII, 1).</w:t>
      </w:r>
    </w:p>
  </w:footnote>
  <w:footnote w:id="773">
    <w:p>
      <w:pPr>
        <w:pStyle w:val="Notedebasdepage"/>
      </w:pPr>
      <w:r>
        <w:rPr>
          <w:rStyle w:val="Appelnotedebasdep"/>
        </w:rPr>
        <w:footnoteRef/>
        <w:t xml:space="preserve"> </w:t>
      </w:r>
      <w:r>
        <w:rPr/>
        <w:t xml:space="preserve">Matth., XVI, 27 ; XIX, 28 ; XX, 21 ; XXIV, 30 et suiv. ; XXV, 31 et suiv. ; XXVI, 64 ; Marc, XIV, 62 ; Luc, XXII, 30 ; I Cor., XV, 52 ; I Thess., IV, 45 et suiv.</w:t>
      </w:r>
    </w:p>
  </w:footnote>
  <w:footnote w:id="774">
    <w:p>
      <w:pPr>
        <w:pStyle w:val="Notedebasdepage"/>
      </w:pPr>
      <w:r>
        <w:rPr>
          <w:rStyle w:val="Appelnotedebasdep"/>
        </w:rPr>
        <w:footnoteRef/>
        <w:t xml:space="preserve"> </w:t>
      </w:r>
      <w:r>
        <w:rPr/>
        <w:t xml:space="preserve">Matth., XIII, 38 et suiv. ; XXV, 33.</w:t>
      </w:r>
    </w:p>
  </w:footnote>
  <w:footnote w:id="775">
    <w:p>
      <w:pPr>
        <w:pStyle w:val="Notedebasdepage"/>
      </w:pPr>
      <w:r>
        <w:rPr>
          <w:rStyle w:val="Appelnotedebasdep"/>
        </w:rPr>
        <w:footnoteRef/>
        <w:t xml:space="preserve"> </w:t>
      </w:r>
      <w:r>
        <w:rPr/>
        <w:t xml:space="preserve">Matth., XIII, 39, 41, 49.</w:t>
      </w:r>
    </w:p>
  </w:footnote>
  <w:footnote w:id="776">
    <w:p>
      <w:pPr>
        <w:pStyle w:val="Notedebasdepage"/>
      </w:pPr>
      <w:r>
        <w:rPr>
          <w:rStyle w:val="Appelnotedebasdep"/>
        </w:rPr>
        <w:footnoteRef/>
        <w:t xml:space="preserve"> </w:t>
      </w:r>
      <w:r>
        <w:rPr/>
        <w:t xml:space="preserve"> Matth., XXV, 34. Comp. Jean, XIV, 2.</w:t>
      </w:r>
    </w:p>
  </w:footnote>
  <w:footnote w:id="777">
    <w:p>
      <w:pPr>
        <w:pStyle w:val="Notedebasdepage"/>
      </w:pPr>
      <w:r>
        <w:rPr>
          <w:rStyle w:val="Appelnotedebasdep"/>
        </w:rPr>
        <w:footnoteRef/>
        <w:t xml:space="preserve"> </w:t>
      </w:r>
      <w:r>
        <w:rPr/>
        <w:t xml:space="preserve">Matth., VIII, 11 ; XIII, 43 ; XXVI, 29 ; Luc, XIII, 28 ; XVI, 22 ; XXII, 30.</w:t>
      </w:r>
    </w:p>
  </w:footnote>
  <w:footnote w:id="778">
    <w:p>
      <w:pPr>
        <w:pStyle w:val="Notedebasdepage"/>
      </w:pPr>
      <w:r>
        <w:rPr>
          <w:rStyle w:val="Appelnotedebasdep"/>
        </w:rPr>
        <w:footnoteRef/>
        <w:t xml:space="preserve"> </w:t>
      </w:r>
      <w:r>
        <w:rPr/>
        <w:t xml:space="preserve">Luc, XIII, 23 et suiv.</w:t>
      </w:r>
    </w:p>
  </w:footnote>
  <w:footnote w:id="779">
    <w:p>
      <w:pPr>
        <w:pStyle w:val="Notedebasdepage"/>
      </w:pPr>
      <w:r>
        <w:rPr>
          <w:rStyle w:val="Appelnotedebasdep"/>
        </w:rPr>
        <w:footnoteRef/>
        <w:t xml:space="preserve"> </w:t>
      </w:r>
      <w:r>
        <w:rPr/>
        <w:t xml:space="preserve"> Matth., XXV, 41. L’idée de la chute des anges, si développée dans le Livre d’Hénoch, était universellement admise dans le cercle de Jésus. Épître de Jude, 6 et suiv. ; IIe Ep. attribuée à saint Pierre, II, 4, 11 ; </w:t>
      </w:r>
      <w:r>
        <w:rPr>
          <w:i/>
        </w:rPr>
        <w:t xml:space="preserve">Apoc</w:t>
      </w:r>
      <w:r>
        <w:rPr/>
        <w:t xml:space="preserve">., XII, 9 ; Évang. de Jean, VIII, 44.</w:t>
      </w:r>
    </w:p>
  </w:footnote>
  <w:footnote w:id="780">
    <w:p>
      <w:pPr>
        <w:pStyle w:val="Notedebasdepage"/>
      </w:pPr>
      <w:r>
        <w:rPr>
          <w:rStyle w:val="Appelnotedebasdep"/>
        </w:rPr>
        <w:footnoteRef/>
        <w:t xml:space="preserve"> </w:t>
      </w:r>
      <w:r>
        <w:rPr/>
        <w:t xml:space="preserve">Matth., V, 22 ; VIII, 12 ; X, 28 ; XIII, 40, 42, 50 ; XVIII, 8 ; XXIV, 51 ; XXV, 30 ; Marc, IX, 43, etc.</w:t>
      </w:r>
    </w:p>
  </w:footnote>
  <w:footnote w:id="781">
    <w:p>
      <w:pPr>
        <w:pStyle w:val="Notedebasdepage"/>
      </w:pPr>
      <w:r>
        <w:rPr>
          <w:rStyle w:val="Appelnotedebasdep"/>
        </w:rPr>
        <w:footnoteRef/>
        <w:t xml:space="preserve"> </w:t>
      </w:r>
      <w:r>
        <w:rPr/>
        <w:t xml:space="preserve"> Matth., VIII, 12 ; XXII, 13 ; XXV, 30. Comp. Jos., </w:t>
      </w:r>
      <w:r>
        <w:rPr>
          <w:i/>
        </w:rPr>
        <w:t xml:space="preserve">B.J.</w:t>
      </w:r>
      <w:r>
        <w:rPr/>
        <w:t xml:space="preserve">, III, </w:t>
      </w:r>
      <w:r>
        <w:rPr/>
        <w:t xml:space="preserve">viii</w:t>
      </w:r>
      <w:r>
        <w:rPr/>
        <w:t xml:space="preserve">, 5.</w:t>
      </w:r>
    </w:p>
  </w:footnote>
  <w:footnote w:id="782">
    <w:p>
      <w:pPr>
        <w:pStyle w:val="Notedebasdepage"/>
      </w:pPr>
      <w:r>
        <w:rPr>
          <w:rStyle w:val="Appelnotedebasdep"/>
        </w:rPr>
        <w:footnoteRef/>
        <w:t xml:space="preserve"> </w:t>
      </w:r>
      <w:r>
        <w:rPr/>
        <w:t xml:space="preserve">Luc, XVI, 28.</w:t>
      </w:r>
    </w:p>
  </w:footnote>
  <w:footnote w:id="783">
    <w:p>
      <w:pPr>
        <w:pStyle w:val="Notedebasdepage"/>
      </w:pPr>
      <w:r>
        <w:rPr>
          <w:rStyle w:val="Appelnotedebasdep"/>
        </w:rPr>
        <w:footnoteRef/>
        <w:t xml:space="preserve"> </w:t>
      </w:r>
      <w:r>
        <w:rPr/>
        <w:t xml:space="preserve"> Marc, III, 29 ; Luc, XXII, 69 ; </w:t>
      </w:r>
      <w:r>
        <w:rPr>
          <w:i/>
        </w:rPr>
        <w:t xml:space="preserve">Act</w:t>
      </w:r>
      <w:r>
        <w:rPr/>
        <w:t xml:space="preserve">., VII, 55.</w:t>
      </w:r>
    </w:p>
  </w:footnote>
  <w:footnote w:id="784">
    <w:p>
      <w:pPr>
        <w:pStyle w:val="Notedebasdepage"/>
      </w:pPr>
      <w:r>
        <w:rPr>
          <w:rStyle w:val="Appelnotedebasdep"/>
        </w:rPr>
        <w:footnoteRef/>
        <w:t xml:space="preserve"> </w:t>
      </w:r>
      <w:r>
        <w:rPr>
          <w:i/>
        </w:rPr>
        <w:t xml:space="preserve">Act</w:t>
      </w:r>
      <w:r>
        <w:rPr/>
        <w:t xml:space="preserve">., II, 47 ; III, 49 et suiv. ; I Cor., XV, 23-24, 52 ; I Thess., III, 13 ; IV, 14 et suiv. ; V, 23 ; II Thess., II, 8 ; I Tim., VI, 14 ; II Tim., IV, 1 ; Tit., II, 13 ; Épître de Jacques, V, 3, 8 ; Épître de Jude, 18 ; II</w:t>
      </w:r>
      <w:r>
        <w:rPr>
          <w:vertAlign w:val="superscript"/>
        </w:rPr>
        <w:t>me</w:t>
      </w:r>
      <w:r>
        <w:rPr/>
        <w:t xml:space="preserve"> de Pierre, III entier ; l’Apocalypse tout entière, et en particulier I, 1 ; II, 5, 16 ; III, 11 ; XI, 44 ; XXII, 6, 7,12, 20. Comp. IVe livre d’Esdras, IV, 26.</w:t>
      </w:r>
    </w:p>
  </w:footnote>
  <w:footnote w:id="785">
    <w:p>
      <w:pPr>
        <w:pStyle w:val="Notedebasdepage"/>
      </w:pPr>
      <w:r>
        <w:rPr>
          <w:rStyle w:val="Appelnotedebasdep"/>
        </w:rPr>
        <w:footnoteRef/>
        <w:t xml:space="preserve"> </w:t>
      </w:r>
      <w:r>
        <w:rPr/>
        <w:t xml:space="preserve"> Luc, XVII, 30 ; I Cor., I, 7-8 ; II Thess., I, 7 ; I de saint Pierre, I, 7, 13 ; </w:t>
      </w:r>
      <w:r>
        <w:rPr>
          <w:i/>
        </w:rPr>
        <w:t xml:space="preserve">Apoc</w:t>
      </w:r>
      <w:r>
        <w:rPr/>
        <w:t xml:space="preserve">., I, 1.</w:t>
      </w:r>
    </w:p>
  </w:footnote>
  <w:footnote w:id="786">
    <w:p>
      <w:pPr>
        <w:pStyle w:val="Notedebasdepage"/>
      </w:pPr>
      <w:r>
        <w:rPr>
          <w:rStyle w:val="Appelnotedebasdep"/>
        </w:rPr>
        <w:footnoteRef/>
        <w:t xml:space="preserve"> </w:t>
      </w:r>
      <w:r>
        <w:rPr>
          <w:i/>
        </w:rPr>
        <w:t xml:space="preserve">Apoc</w:t>
      </w:r>
      <w:r>
        <w:rPr/>
        <w:t xml:space="preserve">., I, 3 ; XXII, 10.</w:t>
      </w:r>
    </w:p>
  </w:footnote>
  <w:footnote w:id="787">
    <w:p>
      <w:pPr>
        <w:pStyle w:val="Notedebasdepage"/>
      </w:pPr>
      <w:r>
        <w:rPr>
          <w:rStyle w:val="Appelnotedebasdep"/>
        </w:rPr>
        <w:footnoteRef/>
        <w:t xml:space="preserve"> </w:t>
      </w:r>
      <w:r>
        <w:rPr/>
        <w:t xml:space="preserve"> Matth., XI, 15 ; XIII, 9, 43 ; Marc, IV, 9, 23 ; VII, 16 ; Luc, VIII, 8 ; XIV, 35 ; </w:t>
      </w:r>
      <w:r>
        <w:rPr>
          <w:i/>
        </w:rPr>
        <w:t xml:space="preserve">Apoc</w:t>
      </w:r>
      <w:r>
        <w:rPr/>
        <w:t xml:space="preserve">., II, 7, 11, 27, 29 ; III, 6, 13, 22 ; XIII, 9.</w:t>
      </w:r>
    </w:p>
  </w:footnote>
  <w:footnote w:id="788">
    <w:p>
      <w:pPr>
        <w:pStyle w:val="Notedebasdepage"/>
      </w:pPr>
      <w:r>
        <w:rPr>
          <w:rStyle w:val="Appelnotedebasdep"/>
        </w:rPr>
        <w:footnoteRef/>
        <w:t xml:space="preserve"> </w:t>
      </w:r>
      <w:r>
        <w:rPr/>
        <w:t xml:space="preserve">I Cor., XVI, 22.</w:t>
      </w:r>
    </w:p>
  </w:footnote>
  <w:footnote w:id="789">
    <w:p>
      <w:pPr>
        <w:pStyle w:val="Notedebasdepage"/>
      </w:pPr>
      <w:r>
        <w:rPr>
          <w:rStyle w:val="Appelnotedebasdep"/>
        </w:rPr>
        <w:footnoteRef/>
        <w:t xml:space="preserve"> </w:t>
      </w:r>
      <w:r>
        <w:rPr>
          <w:i/>
        </w:rPr>
        <w:t xml:space="preserve">Apoc</w:t>
      </w:r>
      <w:r>
        <w:rPr/>
        <w:t xml:space="preserve">., XVII, 9 et suiv. Le sixième empereur que l’auteur donne comme régnant est Galba. L’empereur mort qui doit revenir est Néron, dont le nom est donné en chiffres (XIII, 18).</w:t>
      </w:r>
    </w:p>
  </w:footnote>
  <w:footnote w:id="790">
    <w:p>
      <w:pPr>
        <w:pStyle w:val="Notedebasdepage"/>
      </w:pPr>
      <w:r>
        <w:rPr>
          <w:rStyle w:val="Appelnotedebasdep"/>
        </w:rPr>
        <w:footnoteRef/>
        <w:t xml:space="preserve"> </w:t>
      </w:r>
      <w:r>
        <w:rPr>
          <w:i/>
        </w:rPr>
        <w:t xml:space="preserve">Apoc</w:t>
      </w:r>
      <w:r>
        <w:rPr/>
        <w:t xml:space="preserve">., XI, 2, 3 ; XII, 14. Comp. Daniel, VII, 25 ; XII, 7.</w:t>
      </w:r>
    </w:p>
  </w:footnote>
  <w:footnote w:id="791">
    <w:p>
      <w:pPr>
        <w:pStyle w:val="Notedebasdepage"/>
      </w:pPr>
      <w:r>
        <w:rPr>
          <w:rStyle w:val="Appelnotedebasdep"/>
        </w:rPr>
        <w:footnoteRef/>
        <w:t xml:space="preserve"> </w:t>
      </w:r>
      <w:r>
        <w:rPr/>
        <w:t xml:space="preserve">Chap. IV, v. 12 et 14. Comp. Cedrenus, p. 68 (Paris, 1647).</w:t>
      </w:r>
    </w:p>
  </w:footnote>
  <w:footnote w:id="792">
    <w:p>
      <w:pPr>
        <w:pStyle w:val="Notedebasdepage"/>
      </w:pPr>
      <w:r>
        <w:rPr>
          <w:rStyle w:val="Appelnotedebasdep"/>
        </w:rPr>
        <w:footnoteRef/>
        <w:t xml:space="preserve"> </w:t>
      </w:r>
      <w:r>
        <w:rPr/>
        <w:t xml:space="preserve">Matth., XXIV, 36 ; Marc, XIII, 32.</w:t>
      </w:r>
    </w:p>
  </w:footnote>
  <w:footnote w:id="793">
    <w:p>
      <w:pPr>
        <w:pStyle w:val="Notedebasdepage"/>
      </w:pPr>
      <w:r>
        <w:rPr>
          <w:rStyle w:val="Appelnotedebasdep"/>
        </w:rPr>
        <w:footnoteRef/>
        <w:t xml:space="preserve"> </w:t>
      </w:r>
      <w:r>
        <w:rPr/>
        <w:t xml:space="preserve"> Luc, XVII, 20. Comp. Talmud de Babyl., </w:t>
      </w:r>
      <w:r>
        <w:rPr>
          <w:i/>
        </w:rPr>
        <w:t xml:space="preserve">Sanhédrin</w:t>
      </w:r>
      <w:r>
        <w:rPr/>
        <w:t xml:space="preserve">, 97 </w:t>
      </w:r>
      <w:r>
        <w:rPr>
          <w:i/>
        </w:rPr>
        <w:t xml:space="preserve">a</w:t>
      </w:r>
      <w:r>
        <w:rPr/>
        <w:t xml:space="preserve">.</w:t>
      </w:r>
    </w:p>
  </w:footnote>
  <w:footnote w:id="794">
    <w:p>
      <w:pPr>
        <w:pStyle w:val="Notedebasdepage"/>
      </w:pPr>
      <w:r>
        <w:rPr>
          <w:rStyle w:val="Appelnotedebasdep"/>
        </w:rPr>
        <w:footnoteRef/>
        <w:t xml:space="preserve"> </w:t>
      </w:r>
      <w:r>
        <w:rPr/>
        <w:t xml:space="preserve">Matth., XXIV, 36 et suiv. ; Marc, XIII, 32 et suiv. ; Luc, XII, 35 et suiv. ; XVII, 20 et suiv.</w:t>
      </w:r>
    </w:p>
  </w:footnote>
  <w:footnote w:id="795">
    <w:p>
      <w:pPr>
        <w:pStyle w:val="Notedebasdepage"/>
      </w:pPr>
      <w:r>
        <w:rPr>
          <w:rStyle w:val="Appelnotedebasdep"/>
        </w:rPr>
        <w:footnoteRef/>
        <w:t xml:space="preserve"> </w:t>
      </w:r>
      <w:r>
        <w:rPr/>
        <w:t xml:space="preserve">Luc, XII, 40 ; II Petr., III, 10.</w:t>
      </w:r>
    </w:p>
  </w:footnote>
  <w:footnote w:id="796">
    <w:p>
      <w:pPr>
        <w:pStyle w:val="Notedebasdepage"/>
      </w:pPr>
      <w:r>
        <w:rPr>
          <w:rStyle w:val="Appelnotedebasdep"/>
        </w:rPr>
        <w:footnoteRef/>
        <w:t xml:space="preserve"> </w:t>
      </w:r>
      <w:r>
        <w:rPr/>
        <w:t xml:space="preserve">Luc, XVII, 24.</w:t>
      </w:r>
    </w:p>
  </w:footnote>
  <w:footnote w:id="797">
    <w:p>
      <w:pPr>
        <w:pStyle w:val="Notedebasdepage"/>
      </w:pPr>
      <w:r>
        <w:rPr>
          <w:rStyle w:val="Appelnotedebasdep"/>
        </w:rPr>
        <w:footnoteRef/>
        <w:t xml:space="preserve"> </w:t>
      </w:r>
      <w:r>
        <w:rPr/>
        <w:t xml:space="preserve">Matth., X, 23 ; XXIV-XXV entiers, et surtout XXIV, 29, 34 ; Marc, XIII, 30 ; Luc, XIII, 35 ; XXI, 28 et suiv.</w:t>
      </w:r>
    </w:p>
  </w:footnote>
  <w:footnote w:id="798">
    <w:p>
      <w:pPr>
        <w:pStyle w:val="Notedebasdepage"/>
      </w:pPr>
      <w:r>
        <w:rPr>
          <w:rStyle w:val="Appelnotedebasdep"/>
        </w:rPr>
        <w:footnoteRef/>
        <w:t xml:space="preserve"> </w:t>
      </w:r>
      <w:r>
        <w:rPr/>
        <w:t xml:space="preserve">Matth., XVI, 28 ; XXIII, 36, 39 ; XXIV, 34 ; Marc, VIII, 39 ; Luc, IX, 27 ; XXI, 32.</w:t>
      </w:r>
    </w:p>
  </w:footnote>
  <w:footnote w:id="799">
    <w:p>
      <w:pPr>
        <w:pStyle w:val="Notedebasdepage"/>
      </w:pPr>
      <w:r>
        <w:rPr>
          <w:rStyle w:val="Appelnotedebasdep"/>
        </w:rPr>
        <w:footnoteRef/>
        <w:t xml:space="preserve"> </w:t>
      </w:r>
      <w:r>
        <w:rPr/>
        <w:t xml:space="preserve">Matth., XVI, 2-4 ; Luc, XII, 54-56.</w:t>
      </w:r>
    </w:p>
  </w:footnote>
  <w:footnote w:id="800">
    <w:p>
      <w:pPr>
        <w:pStyle w:val="Notedebasdepage"/>
      </w:pPr>
      <w:r>
        <w:rPr>
          <w:rStyle w:val="Appelnotedebasdep"/>
        </w:rPr>
        <w:footnoteRef/>
        <w:t xml:space="preserve"> </w:t>
      </w:r>
      <w:r>
        <w:rPr/>
        <w:t xml:space="preserve">Jean, XXI, 22-23.</w:t>
      </w:r>
    </w:p>
  </w:footnote>
  <w:footnote w:id="801">
    <w:p>
      <w:pPr>
        <w:pStyle w:val="Notedebasdepage"/>
      </w:pPr>
      <w:r>
        <w:rPr>
          <w:rStyle w:val="Appelnotedebasdep"/>
        </w:rPr>
        <w:footnoteRef/>
        <w:t xml:space="preserve"> </w:t>
      </w:r>
      <w:r>
        <w:rPr/>
        <w:t xml:space="preserve">Jean, XXI, 22-23. Le chapitre XXI du quatrième évangile est une addition, comme le prouve la clausule finale de la rédaction primitive, qui est au verset 31 du chapitre XX. Mais l’addition est presque contemporaine de la publication même dudit évangile.</w:t>
      </w:r>
    </w:p>
  </w:footnote>
  <w:footnote w:id="802">
    <w:p>
      <w:pPr>
        <w:pStyle w:val="Notedebasdepage"/>
      </w:pPr>
      <w:r>
        <w:rPr>
          <w:rStyle w:val="Appelnotedebasdep"/>
        </w:rPr>
        <w:footnoteRef/>
        <w:t xml:space="preserve"> </w:t>
      </w:r>
      <w:r>
        <w:rPr/>
        <w:t xml:space="preserve">Ci-dessus, p. 54-55.</w:t>
      </w:r>
    </w:p>
  </w:footnote>
  <w:footnote w:id="803">
    <w:p>
      <w:pPr>
        <w:pStyle w:val="Notedebasdepage"/>
      </w:pPr>
      <w:r>
        <w:rPr>
          <w:rStyle w:val="Appelnotedebasdep"/>
        </w:rPr>
        <w:footnoteRef/>
        <w:t xml:space="preserve"> </w:t>
      </w:r>
      <w:r>
        <w:rPr/>
        <w:t xml:space="preserve">Marc, IX, 9 ; Luc, XX, 27 et suiv.</w:t>
      </w:r>
    </w:p>
  </w:footnote>
  <w:footnote w:id="804">
    <w:p>
      <w:pPr>
        <w:pStyle w:val="Notedebasdepage"/>
      </w:pPr>
      <w:r>
        <w:rPr>
          <w:rStyle w:val="Appelnotedebasdep"/>
        </w:rPr>
        <w:footnoteRef/>
        <w:t xml:space="preserve"> </w:t>
      </w:r>
      <w:r>
        <w:rPr/>
        <w:t xml:space="preserve"> Dan., XII, 2 et suiv. ; II Macch., chap. VII, entier ; XII, 45-46 ; XIV, 46 ; </w:t>
      </w:r>
      <w:r>
        <w:rPr>
          <w:i/>
        </w:rPr>
        <w:t xml:space="preserve">Act</w:t>
      </w:r>
      <w:r>
        <w:rPr/>
        <w:t xml:space="preserve">., XXIII, 6, 8 ; Jos., </w:t>
      </w:r>
      <w:r>
        <w:rPr>
          <w:i/>
        </w:rPr>
        <w:t xml:space="preserve">Ant</w:t>
      </w:r>
      <w:r>
        <w:rPr/>
        <w:t xml:space="preserve">., XVIII, I, 3 ; </w:t>
      </w:r>
      <w:r>
        <w:rPr>
          <w:i/>
        </w:rPr>
        <w:t xml:space="preserve">B. J</w:t>
      </w:r>
      <w:r>
        <w:rPr/>
        <w:t xml:space="preserve">., II, VIII, 14 ; III, </w:t>
      </w:r>
      <w:r>
        <w:rPr/>
        <w:t xml:space="preserve">viii</w:t>
      </w:r>
      <w:r>
        <w:rPr/>
        <w:t xml:space="preserve">, 5.</w:t>
      </w:r>
    </w:p>
  </w:footnote>
  <w:footnote w:id="805">
    <w:p>
      <w:pPr>
        <w:pStyle w:val="Notedebasdepage"/>
      </w:pPr>
      <w:r>
        <w:rPr>
          <w:rStyle w:val="Appelnotedebasdep"/>
        </w:rPr>
        <w:footnoteRef/>
        <w:t xml:space="preserve"> </w:t>
      </w:r>
      <w:r>
        <w:rPr/>
        <w:t xml:space="preserve">Matth., XXVI, 29 ; Luc, XXII, 30.</w:t>
      </w:r>
    </w:p>
  </w:footnote>
  <w:footnote w:id="806">
    <w:p>
      <w:pPr>
        <w:pStyle w:val="Notedebasdepage"/>
      </w:pPr>
      <w:r>
        <w:rPr>
          <w:rStyle w:val="Appelnotedebasdep"/>
        </w:rPr>
        <w:footnoteRef/>
        <w:t xml:space="preserve"> </w:t>
      </w:r>
      <w:r>
        <w:rPr/>
        <w:t xml:space="preserve"> Matth., XXII, 24 et suiv. ; Luc, XX, 34-38 ; Évangile ébionite dit « des Égyptiens », dans Clém. d’Alex., </w:t>
      </w:r>
      <w:r>
        <w:rPr>
          <w:i/>
        </w:rPr>
        <w:t xml:space="preserve">Strom</w:t>
      </w:r>
      <w:r>
        <w:rPr/>
        <w:t xml:space="preserve">., II, 9, 13 ; Clem. Rom., Epist. II, 12.</w:t>
      </w:r>
    </w:p>
  </w:footnote>
  <w:footnote w:id="807">
    <w:p>
      <w:pPr>
        <w:pStyle w:val="Notedebasdepage"/>
      </w:pPr>
      <w:r>
        <w:rPr>
          <w:rStyle w:val="Appelnotedebasdep"/>
        </w:rPr>
        <w:footnoteRef/>
        <w:t xml:space="preserve"> </w:t>
      </w:r>
      <w:r>
        <w:rPr/>
        <w:t xml:space="preserve">Luc, XIV, 14 ; XX, 35-36. C’est aussi l’opinion de saint Paul : I Cor., XV, 23 et suiv. ; I Thess., IV, 12 et suiv. V. ci-dessus, p. 55.</w:t>
      </w:r>
    </w:p>
  </w:footnote>
  <w:footnote w:id="808">
    <w:p>
      <w:pPr>
        <w:pStyle w:val="Notedebasdepage"/>
      </w:pPr>
      <w:r>
        <w:rPr>
          <w:rStyle w:val="Appelnotedebasdep"/>
        </w:rPr>
        <w:footnoteRef/>
        <w:t xml:space="preserve"> </w:t>
      </w:r>
      <w:r>
        <w:rPr/>
        <w:t xml:space="preserve"> Comp. IV</w:t>
      </w:r>
      <w:r>
        <w:rPr>
          <w:vertAlign w:val="superscript"/>
        </w:rPr>
        <w:t>e</w:t>
      </w:r>
      <w:r>
        <w:rPr/>
        <w:t xml:space="preserve"> livre d’Esdras, IX, 22.</w:t>
      </w:r>
    </w:p>
  </w:footnote>
  <w:footnote w:id="809">
    <w:p>
      <w:pPr>
        <w:pStyle w:val="Notedebasdepage"/>
      </w:pPr>
      <w:r>
        <w:rPr>
          <w:rStyle w:val="Appelnotedebasdep"/>
        </w:rPr>
        <w:footnoteRef/>
        <w:t xml:space="preserve"> </w:t>
      </w:r>
      <w:r>
        <w:rPr/>
        <w:t xml:space="preserve">Matth., XXV, 32 et suiv.</w:t>
      </w:r>
    </w:p>
  </w:footnote>
  <w:footnote w:id="810">
    <w:p>
      <w:pPr>
        <w:pStyle w:val="Notedebasdepage"/>
      </w:pPr>
      <w:r>
        <w:rPr>
          <w:rStyle w:val="Appelnotedebasdep"/>
        </w:rPr>
        <w:footnoteRef/>
        <w:t xml:space="preserve"> </w:t>
      </w:r>
      <w:r>
        <w:rPr/>
        <w:t xml:space="preserve">Voir surtout les chapitres II, VI-VIII, X-XIII.</w:t>
      </w:r>
    </w:p>
  </w:footnote>
  <w:footnote w:id="811">
    <w:p>
      <w:pPr>
        <w:pStyle w:val="Notedebasdepage"/>
      </w:pPr>
      <w:r>
        <w:rPr>
          <w:rStyle w:val="Appelnotedebasdep"/>
        </w:rPr>
        <w:footnoteRef/>
        <w:t xml:space="preserve"> </w:t>
      </w:r>
      <w:r>
        <w:rPr/>
        <w:t xml:space="preserve">Ch. I, XLV-LII, LXII, XCIII, 9 et suiv.</w:t>
      </w:r>
    </w:p>
  </w:footnote>
  <w:footnote w:id="812">
    <w:p>
      <w:pPr>
        <w:pStyle w:val="Notedebasdepage"/>
      </w:pPr>
      <w:r>
        <w:rPr>
          <w:rStyle w:val="Appelnotedebasdep"/>
        </w:rPr>
        <w:footnoteRef/>
        <w:t xml:space="preserve"> </w:t>
      </w:r>
      <w:r>
        <w:rPr/>
        <w:t xml:space="preserve">Liv. III, 573 et suiv. ; 652 et suiv. ; 766 et suiv. ; 795 et suiv.</w:t>
      </w:r>
    </w:p>
  </w:footnote>
  <w:footnote w:id="813">
    <w:p>
      <w:pPr>
        <w:pStyle w:val="Notedebasdepage"/>
      </w:pPr>
      <w:r>
        <w:rPr>
          <w:rStyle w:val="Appelnotedebasdep"/>
        </w:rPr>
        <w:footnoteRef/>
        <w:t xml:space="preserve"> </w:t>
      </w:r>
      <w:r>
        <w:rPr/>
        <w:t xml:space="preserve">Ces angoisses de la conscience chrétienne se traduisent avec naïveté dans la IIe épître attribuée à saint Pierre III, 8 et suiv.</w:t>
      </w:r>
    </w:p>
  </w:footnote>
  <w:footnote w:id="814">
    <w:p>
      <w:pPr>
        <w:pStyle w:val="Notedebasdepage"/>
      </w:pPr>
      <w:r>
        <w:rPr>
          <w:rStyle w:val="Appelnotedebasdep"/>
        </w:rPr>
        <w:footnoteRef/>
        <w:t xml:space="preserve"> </w:t>
      </w:r>
      <w:r>
        <w:rPr/>
        <w:t xml:space="preserve">Matth., VI, 40, 33 ; Marc, XII, 34 ; Luc, XI, 2 ; XII, 31 ; XVII, 20, 21 et suiv.</w:t>
      </w:r>
    </w:p>
  </w:footnote>
  <w:footnote w:id="815">
    <w:p>
      <w:pPr>
        <w:pStyle w:val="Notedebasdepage"/>
      </w:pPr>
      <w:r>
        <w:rPr>
          <w:rStyle w:val="Appelnotedebasdep"/>
        </w:rPr>
        <w:footnoteRef/>
        <w:t xml:space="preserve"> </w:t>
      </w:r>
      <w:r>
        <w:rPr/>
        <w:t xml:space="preserve">Voir surtout Marc, XII, 34.</w:t>
      </w:r>
    </w:p>
  </w:footnote>
  <w:footnote w:id="816">
    <w:p>
      <w:pPr>
        <w:pStyle w:val="Notedebasdepage"/>
      </w:pPr>
      <w:r>
        <w:rPr>
          <w:rStyle w:val="Appelnotedebasdep"/>
        </w:rPr>
        <w:footnoteRef/>
        <w:t xml:space="preserve"> </w:t>
      </w:r>
      <w:r>
        <w:rPr/>
        <w:t xml:space="preserve"> Justin, </w:t>
      </w:r>
      <w:r>
        <w:rPr>
          <w:i/>
        </w:rPr>
        <w:t xml:space="preserve">Dial. cum Tryph.</w:t>
      </w:r>
      <w:r>
        <w:rPr/>
        <w:t xml:space="preserve">, 81.</w:t>
      </w:r>
    </w:p>
  </w:footnote>
  <w:footnote w:id="817">
    <w:p>
      <w:pPr>
        <w:pStyle w:val="Notedebasdepage"/>
      </w:pPr>
      <w:r>
        <w:rPr>
          <w:rStyle w:val="Appelnotedebasdep"/>
        </w:rPr>
        <w:footnoteRef/>
        <w:t xml:space="preserve"> </w:t>
      </w:r>
      <w:r>
        <w:rPr/>
        <w:t xml:space="preserve"> Voir, pour exemples, le prologue de Grégoire de Tours à son </w:t>
      </w:r>
      <w:r>
        <w:rPr>
          <w:i/>
        </w:rPr>
        <w:t xml:space="preserve">Histoire ecclésiastique des Francs</w:t>
      </w:r>
      <w:r>
        <w:rPr/>
        <w:t xml:space="preserve">, et les nombreux actes de la première moitié du moyen âge commençant par la formule « A l’approche du soir du monde… »</w:t>
      </w:r>
    </w:p>
  </w:footnote>
  <w:footnote w:id="818">
    <w:p>
      <w:pPr>
        <w:pStyle w:val="Notedebasdepage"/>
      </w:pPr>
      <w:r>
        <w:rPr>
          <w:rStyle w:val="Appelnotedebasdep"/>
        </w:rPr>
        <w:footnoteRef/>
        <w:t xml:space="preserve"> </w:t>
      </w:r>
      <w:r>
        <w:rPr/>
        <w:t xml:space="preserve">I Cor., XV, 52.</w:t>
      </w:r>
    </w:p>
  </w:footnote>
  <w:footnote w:id="819">
    <w:p>
      <w:pPr>
        <w:pStyle w:val="Notedebasdepage"/>
      </w:pPr>
      <w:r>
        <w:rPr>
          <w:rStyle w:val="Appelnotedebasdep"/>
        </w:rPr>
        <w:footnoteRef/>
        <w:t xml:space="preserve"> </w:t>
      </w:r>
      <w:r>
        <w:rPr>
          <w:i/>
        </w:rPr>
        <w:t xml:space="preserve">Act</w:t>
      </w:r>
      <w:r>
        <w:rPr/>
        <w:t xml:space="preserve">., </w:t>
      </w:r>
      <w:r>
        <w:rPr/>
        <w:t xml:space="preserve">i</w:t>
      </w:r>
      <w:r>
        <w:rPr/>
        <w:t xml:space="preserve">, 15 et suiv. ; I Cor., XV, 5 ; Gal., </w:t>
      </w:r>
      <w:r>
        <w:rPr/>
        <w:t xml:space="preserve">i</w:t>
      </w:r>
      <w:r>
        <w:rPr/>
        <w:t xml:space="preserve">, 10.</w:t>
      </w:r>
    </w:p>
  </w:footnote>
  <w:footnote w:id="820">
    <w:p>
      <w:pPr>
        <w:pStyle w:val="Notedebasdepage"/>
      </w:pPr>
      <w:r>
        <w:rPr>
          <w:rStyle w:val="Appelnotedebasdep"/>
        </w:rPr>
        <w:footnoteRef/>
        <w:t xml:space="preserve"> </w:t>
      </w:r>
      <w:r>
        <w:rPr/>
        <w:t xml:space="preserve"> Matth., X, 2 et suiv. ; Marc, III, 16 et suiv. ; Luc, VI, 14 et suiv. ; </w:t>
      </w:r>
      <w:r>
        <w:rPr>
          <w:i/>
        </w:rPr>
        <w:t xml:space="preserve">Act</w:t>
      </w:r>
      <w:r>
        <w:rPr/>
        <w:t xml:space="preserve">., I, 13 ; Papias, dans Eusèbe, </w:t>
      </w:r>
      <w:r>
        <w:rPr>
          <w:i/>
        </w:rPr>
        <w:t xml:space="preserve">Hist. eccl</w:t>
      </w:r>
      <w:r>
        <w:rPr/>
        <w:t xml:space="preserve">., III, 39.</w:t>
      </w:r>
    </w:p>
  </w:footnote>
  <w:footnote w:id="821">
    <w:p>
      <w:pPr>
        <w:pStyle w:val="Notedebasdepage"/>
      </w:pPr>
      <w:r>
        <w:rPr>
          <w:rStyle w:val="Appelnotedebasdep"/>
        </w:rPr>
        <w:footnoteRef/>
        <w:t xml:space="preserve"> </w:t>
      </w:r>
      <w:r>
        <w:rPr/>
        <w:t xml:space="preserve">Matth., XIX, 28 ; Luc, XXII, 30.</w:t>
      </w:r>
    </w:p>
  </w:footnote>
  <w:footnote w:id="822">
    <w:p>
      <w:pPr>
        <w:pStyle w:val="Notedebasdepage"/>
      </w:pPr>
      <w:r>
        <w:rPr>
          <w:rStyle w:val="Appelnotedebasdep"/>
        </w:rPr>
        <w:footnoteRef/>
        <w:t xml:space="preserve"> </w:t>
      </w:r>
      <w:r>
        <w:rPr>
          <w:i/>
        </w:rPr>
        <w:t xml:space="preserve">Act.</w:t>
      </w:r>
      <w:r>
        <w:rPr/>
        <w:t xml:space="preserve">, </w:t>
      </w:r>
      <w:r>
        <w:rPr/>
        <w:t xml:space="preserve">i</w:t>
      </w:r>
      <w:r>
        <w:rPr/>
        <w:t xml:space="preserve">, 15 ; II, 14 ; V, 2-3, 29 ; VIII, 19 ; XV, 7 ; Gal., </w:t>
      </w:r>
      <w:r>
        <w:rPr/>
        <w:t xml:space="preserve">i</w:t>
      </w:r>
      <w:r>
        <w:rPr/>
        <w:t xml:space="preserve">, 18.</w:t>
      </w:r>
    </w:p>
  </w:footnote>
  <w:footnote w:id="823">
    <w:p>
      <w:pPr>
        <w:pStyle w:val="Notedebasdepage"/>
      </w:pPr>
      <w:r>
        <w:rPr>
          <w:rStyle w:val="Appelnotedebasdep"/>
        </w:rPr>
        <w:footnoteRef/>
        <w:t xml:space="preserve"> </w:t>
      </w:r>
      <w:r>
        <w:rPr/>
        <w:t xml:space="preserve"> Pour Pierre, voir ci-dessus, p. 150 ; pour Philippe, voir Papias, Polycrate et Clément d’Alexandrie, cités par Eusèbe, </w:t>
      </w:r>
      <w:r>
        <w:rPr>
          <w:i/>
        </w:rPr>
        <w:t xml:space="preserve">Hist. eccl.</w:t>
      </w:r>
      <w:r>
        <w:rPr/>
        <w:t xml:space="preserve">, III, 30, 31, 39 ; V, 24.</w:t>
      </w:r>
    </w:p>
  </w:footnote>
  <w:footnote w:id="824">
    <w:p>
      <w:pPr>
        <w:pStyle w:val="Notedebasdepage"/>
      </w:pPr>
      <w:r>
        <w:rPr>
          <w:rStyle w:val="Appelnotedebasdep"/>
        </w:rPr>
        <w:footnoteRef/>
        <w:t xml:space="preserve"> </w:t>
      </w:r>
      <w:r>
        <w:rPr/>
        <w:t xml:space="preserve">Matth., XVI, 20 ; XVII, 9 ; Marc, VIII, 30 ; IX, 8.</w:t>
      </w:r>
    </w:p>
  </w:footnote>
  <w:footnote w:id="825">
    <w:p>
      <w:pPr>
        <w:pStyle w:val="Notedebasdepage"/>
      </w:pPr>
      <w:r>
        <w:rPr>
          <w:rStyle w:val="Appelnotedebasdep"/>
        </w:rPr>
        <w:footnoteRef/>
        <w:t xml:space="preserve"> </w:t>
      </w:r>
      <w:r>
        <w:rPr/>
        <w:t xml:space="preserve">Matth., X, 26, 27 ; Marc, IV, 21 et suiv. ; Luc, VIII, 17 ; XII, 2 et suiv. ; Jean, XIV, 22.</w:t>
      </w:r>
    </w:p>
  </w:footnote>
  <w:footnote w:id="826">
    <w:p>
      <w:pPr>
        <w:pStyle w:val="Notedebasdepage"/>
      </w:pPr>
      <w:r>
        <w:rPr>
          <w:rStyle w:val="Appelnotedebasdep"/>
        </w:rPr>
        <w:footnoteRef/>
        <w:t xml:space="preserve"> </w:t>
      </w:r>
      <w:r>
        <w:rPr/>
        <w:t xml:space="preserve">Matth., XIII, 10 et suiv., 34 et suiv. ; Marc, IV, 10 et suiv., 33 et suiv. ; Luc, VIII, 9 et suiv. ; XII, 41.</w:t>
      </w:r>
    </w:p>
  </w:footnote>
  <w:footnote w:id="827">
    <w:p>
      <w:pPr>
        <w:pStyle w:val="Notedebasdepage"/>
      </w:pPr>
      <w:r>
        <w:rPr>
          <w:rStyle w:val="Appelnotedebasdep"/>
        </w:rPr>
        <w:footnoteRef/>
        <w:t xml:space="preserve"> </w:t>
      </w:r>
      <w:r>
        <w:rPr/>
        <w:t xml:space="preserve">Matth., XVI, 6 et suiv. ; Marc, VII, 17-23.</w:t>
      </w:r>
    </w:p>
  </w:footnote>
  <w:footnote w:id="828">
    <w:p>
      <w:pPr>
        <w:pStyle w:val="Notedebasdepage"/>
      </w:pPr>
      <w:r>
        <w:rPr>
          <w:rStyle w:val="Appelnotedebasdep"/>
        </w:rPr>
        <w:footnoteRef/>
        <w:t xml:space="preserve"> </w:t>
      </w:r>
      <w:r>
        <w:rPr/>
        <w:t xml:space="preserve">Matth., XIII, 18 et suiv. ; Marc, VII, 18 et suiv.</w:t>
      </w:r>
    </w:p>
  </w:footnote>
  <w:footnote w:id="829">
    <w:p>
      <w:pPr>
        <w:pStyle w:val="Notedebasdepage"/>
      </w:pPr>
      <w:r>
        <w:rPr>
          <w:rStyle w:val="Appelnotedebasdep"/>
        </w:rPr>
        <w:footnoteRef/>
        <w:t xml:space="preserve"> </w:t>
      </w:r>
      <w:r>
        <w:rPr/>
        <w:t xml:space="preserve">Luc, IX, 6.</w:t>
      </w:r>
    </w:p>
  </w:footnote>
  <w:footnote w:id="830">
    <w:p>
      <w:pPr>
        <w:pStyle w:val="Notedebasdepage"/>
      </w:pPr>
      <w:r>
        <w:rPr>
          <w:rStyle w:val="Appelnotedebasdep"/>
        </w:rPr>
        <w:footnoteRef/>
        <w:t xml:space="preserve"> </w:t>
      </w:r>
      <w:r>
        <w:rPr/>
        <w:t xml:space="preserve">Luc, X, 11.</w:t>
      </w:r>
    </w:p>
  </w:footnote>
  <w:footnote w:id="831">
    <w:p>
      <w:pPr>
        <w:pStyle w:val="Notedebasdepage"/>
      </w:pPr>
      <w:r>
        <w:rPr>
          <w:rStyle w:val="Appelnotedebasdep"/>
        </w:rPr>
        <w:footnoteRef/>
        <w:t xml:space="preserve"> </w:t>
      </w:r>
      <w:r>
        <w:rPr/>
        <w:t xml:space="preserve"> Le mot grec [Greek : pandokeion] a passé dans toutes les langues de l’Orient sémitique pour désigner une hôtellerie.</w:t>
      </w:r>
    </w:p>
  </w:footnote>
  <w:footnote w:id="832">
    <w:p>
      <w:pPr>
        <w:pStyle w:val="Notedebasdepage"/>
      </w:pPr>
      <w:r>
        <w:rPr>
          <w:rStyle w:val="Appelnotedebasdep"/>
        </w:rPr>
        <w:footnoteRef/>
        <w:t xml:space="preserve"> </w:t>
      </w:r>
      <w:r>
        <w:rPr/>
        <w:t xml:space="preserve"> Matth., X, 11 et suiv. ; Marc, VI, 10 et suiv. ; Luc, X, 5 et suiv. Comp. II</w:t>
      </w:r>
      <w:r>
        <w:rPr>
          <w:vertAlign w:val="superscript"/>
        </w:rPr>
        <w:t>e</w:t>
      </w:r>
      <w:r>
        <w:rPr/>
        <w:t xml:space="preserve"> épître de Jean, 10-11.</w:t>
      </w:r>
    </w:p>
  </w:footnote>
  <w:footnote w:id="833">
    <w:p>
      <w:pPr>
        <w:pStyle w:val="Notedebasdepage"/>
      </w:pPr>
      <w:r>
        <w:rPr>
          <w:rStyle w:val="Appelnotedebasdep"/>
        </w:rPr>
        <w:footnoteRef/>
        <w:t xml:space="preserve"> </w:t>
      </w:r>
      <w:r>
        <w:rPr/>
        <w:t xml:space="preserve">Luc, IX, 52 et suiv.</w:t>
      </w:r>
    </w:p>
  </w:footnote>
  <w:footnote w:id="834">
    <w:p>
      <w:pPr>
        <w:pStyle w:val="Notedebasdepage"/>
      </w:pPr>
      <w:r>
        <w:rPr>
          <w:rStyle w:val="Appelnotedebasdep"/>
        </w:rPr>
        <w:footnoteRef/>
        <w:t xml:space="preserve"> </w:t>
      </w:r>
      <w:r>
        <w:rPr/>
        <w:t xml:space="preserve">Matth., X. 40-42 ; XXV, 35 et suiv. ; Marc, IX, 40 ; Luc, X, 16 ; Jean, XIII, 20.</w:t>
      </w:r>
    </w:p>
  </w:footnote>
  <w:footnote w:id="835">
    <w:p>
      <w:pPr>
        <w:pStyle w:val="Notedebasdepage"/>
      </w:pPr>
      <w:r>
        <w:rPr>
          <w:rStyle w:val="Appelnotedebasdep"/>
        </w:rPr>
        <w:footnoteRef/>
        <w:t xml:space="preserve"> </w:t>
      </w:r>
      <w:r>
        <w:rPr/>
        <w:t xml:space="preserve">Matth., VII, 22 ; X, 1 ; Marc, III, 15, VI, 13 ; Luc. X, 17.</w:t>
      </w:r>
    </w:p>
  </w:footnote>
  <w:footnote w:id="836">
    <w:p>
      <w:pPr>
        <w:pStyle w:val="Notedebasdepage"/>
      </w:pPr>
      <w:r>
        <w:rPr>
          <w:rStyle w:val="Appelnotedebasdep"/>
        </w:rPr>
        <w:footnoteRef/>
        <w:t xml:space="preserve"> </w:t>
      </w:r>
      <w:r>
        <w:rPr/>
        <w:t xml:space="preserve">Matth., XVII, 18-19.</w:t>
      </w:r>
    </w:p>
  </w:footnote>
  <w:footnote w:id="837">
    <w:p>
      <w:pPr>
        <w:pStyle w:val="Notedebasdepage"/>
      </w:pPr>
      <w:r>
        <w:rPr>
          <w:rStyle w:val="Appelnotedebasdep"/>
        </w:rPr>
        <w:footnoteRef/>
        <w:t xml:space="preserve"> </w:t>
      </w:r>
      <w:r>
        <w:rPr/>
        <w:t xml:space="preserve"> Marc, VI, 13 ; XVI, 18 ; Epist. Jacobi, V, 14.</w:t>
      </w:r>
    </w:p>
  </w:footnote>
  <w:footnote w:id="838">
    <w:p>
      <w:pPr>
        <w:pStyle w:val="Notedebasdepage"/>
      </w:pPr>
      <w:r>
        <w:rPr>
          <w:rStyle w:val="Appelnotedebasdep"/>
        </w:rPr>
        <w:footnoteRef/>
        <w:t xml:space="preserve"> </w:t>
      </w:r>
      <w:r>
        <w:rPr/>
        <w:t xml:space="preserve">Marc, XVI, 18 ; Luc, X, 19.</w:t>
      </w:r>
    </w:p>
  </w:footnote>
  <w:footnote w:id="839">
    <w:p>
      <w:pPr>
        <w:pStyle w:val="Notedebasdepage"/>
      </w:pPr>
      <w:r>
        <w:rPr>
          <w:rStyle w:val="Appelnotedebasdep"/>
        </w:rPr>
        <w:footnoteRef/>
        <w:t xml:space="preserve"> </w:t>
      </w:r>
      <w:r>
        <w:rPr/>
        <w:t xml:space="preserve">Marc, XVI, 20.</w:t>
      </w:r>
    </w:p>
  </w:footnote>
  <w:footnote w:id="840">
    <w:p>
      <w:pPr>
        <w:pStyle w:val="Notedebasdepage"/>
      </w:pPr>
      <w:r>
        <w:rPr>
          <w:rStyle w:val="Appelnotedebasdep"/>
        </w:rPr>
        <w:footnoteRef/>
        <w:t xml:space="preserve"> </w:t>
      </w:r>
      <w:r>
        <w:rPr/>
        <w:t xml:space="preserve">Marc, IX, 37-38 ; Luc, IX, 49-50.</w:t>
      </w:r>
    </w:p>
  </w:footnote>
  <w:footnote w:id="841">
    <w:p>
      <w:pPr>
        <w:pStyle w:val="Notedebasdepage"/>
      </w:pPr>
      <w:r>
        <w:rPr>
          <w:rStyle w:val="Appelnotedebasdep"/>
        </w:rPr>
        <w:footnoteRef/>
        <w:t xml:space="preserve"> </w:t>
      </w:r>
      <w:r>
        <w:rPr/>
        <w:t xml:space="preserve">Ancien dieu des Philistins, transformé par les Juifs en démon.</w:t>
      </w:r>
    </w:p>
  </w:footnote>
  <w:footnote w:id="842">
    <w:p>
      <w:pPr>
        <w:pStyle w:val="Notedebasdepage"/>
      </w:pPr>
      <w:r>
        <w:rPr>
          <w:rStyle w:val="Appelnotedebasdep"/>
        </w:rPr>
        <w:footnoteRef/>
        <w:t xml:space="preserve"> </w:t>
      </w:r>
      <w:r>
        <w:rPr/>
        <w:t xml:space="preserve">Matth., XII, 24 et suiv.</w:t>
      </w:r>
    </w:p>
  </w:footnote>
  <w:footnote w:id="843">
    <w:p>
      <w:pPr>
        <w:pStyle w:val="Notedebasdepage"/>
      </w:pPr>
      <w:r>
        <w:rPr>
          <w:rStyle w:val="Appelnotedebasdep"/>
        </w:rPr>
        <w:footnoteRef/>
        <w:t xml:space="preserve"> </w:t>
      </w:r>
      <w:r>
        <w:rPr>
          <w:i/>
        </w:rPr>
        <w:t xml:space="preserve">Act.</w:t>
      </w:r>
      <w:r>
        <w:rPr/>
        <w:t xml:space="preserve">, VIII, 18 et suiv.</w:t>
      </w:r>
    </w:p>
  </w:footnote>
  <w:footnote w:id="844">
    <w:p>
      <w:pPr>
        <w:pStyle w:val="Notedebasdepage"/>
      </w:pPr>
      <w:r>
        <w:rPr>
          <w:rStyle w:val="Appelnotedebasdep"/>
        </w:rPr>
        <w:footnoteRef/>
        <w:t xml:space="preserve"> </w:t>
      </w:r>
      <w:r>
        <w:rPr/>
        <w:t xml:space="preserve">Matth., XVIII, 17 et suiv. ; Jean, XX, 23.</w:t>
      </w:r>
    </w:p>
  </w:footnote>
  <w:footnote w:id="845">
    <w:p>
      <w:pPr>
        <w:pStyle w:val="Notedebasdepage"/>
      </w:pPr>
      <w:r>
        <w:rPr>
          <w:rStyle w:val="Appelnotedebasdep"/>
        </w:rPr>
        <w:footnoteRef/>
        <w:t xml:space="preserve"> </w:t>
      </w:r>
      <w:r>
        <w:rPr/>
        <w:t xml:space="preserve">Matth., IX, 3 et suiv.</w:t>
      </w:r>
    </w:p>
  </w:footnote>
  <w:footnote w:id="846">
    <w:p>
      <w:pPr>
        <w:pStyle w:val="Notedebasdepage"/>
      </w:pPr>
      <w:r>
        <w:rPr>
          <w:rStyle w:val="Appelnotedebasdep"/>
        </w:rPr>
        <w:footnoteRef/>
        <w:t xml:space="preserve"> </w:t>
      </w:r>
      <w:r>
        <w:rPr/>
        <w:t xml:space="preserve"> Matth., XXVIII, 19. Comp. Matth., III, 16-17 ; Jean, XV, 26.</w:t>
      </w:r>
    </w:p>
  </w:footnote>
  <w:footnote w:id="847">
    <w:p>
      <w:pPr>
        <w:pStyle w:val="Notedebasdepage"/>
      </w:pPr>
      <w:r>
        <w:rPr>
          <w:rStyle w:val="Appelnotedebasdep"/>
        </w:rPr>
        <w:footnoteRef/>
        <w:t xml:space="preserve"> </w:t>
      </w:r>
      <w:r>
        <w:rPr>
          <w:i/>
        </w:rPr>
        <w:t xml:space="preserve">Sapi</w:t>
      </w:r>
      <w:r>
        <w:rPr/>
        <w:t xml:space="preserve">., I, 7 ; VII, 7 ; IX, 17 ; XII, 1 ; </w:t>
      </w:r>
      <w:r>
        <w:rPr>
          <w:i/>
        </w:rPr>
        <w:t xml:space="preserve">Eccli</w:t>
      </w:r>
      <w:r>
        <w:rPr/>
        <w:t xml:space="preserve">., I, 9 ; XV, 5 ; XXIV, 27 ; XXXIX, 8 ; </w:t>
      </w:r>
      <w:r>
        <w:rPr>
          <w:i/>
        </w:rPr>
        <w:t xml:space="preserve">Judith</w:t>
      </w:r>
      <w:r>
        <w:rPr/>
        <w:t xml:space="preserve">, XVI, 17.</w:t>
      </w:r>
    </w:p>
  </w:footnote>
  <w:footnote w:id="848">
    <w:p>
      <w:pPr>
        <w:pStyle w:val="Notedebasdepage"/>
      </w:pPr>
      <w:r>
        <w:rPr>
          <w:rStyle w:val="Appelnotedebasdep"/>
        </w:rPr>
        <w:footnoteRef/>
        <w:t xml:space="preserve"> </w:t>
      </w:r>
      <w:r>
        <w:rPr/>
        <w:t xml:space="preserve">Matth., X, 20 ; Luc, XII, 12 ; XXIV, 49 ; Jean, XIV, 26 ; XV, 26.</w:t>
      </w:r>
    </w:p>
  </w:footnote>
  <w:footnote w:id="849">
    <w:p>
      <w:pPr>
        <w:pStyle w:val="Notedebasdepage"/>
      </w:pPr>
      <w:r>
        <w:rPr>
          <w:rStyle w:val="Appelnotedebasdep"/>
        </w:rPr>
        <w:footnoteRef/>
        <w:t xml:space="preserve"> </w:t>
      </w:r>
      <w:r>
        <w:rPr/>
        <w:t xml:space="preserve"> Matth., III, 11 ; Marc, I, 8 ; Luc, III, 16 ; Jean, I, 26 ; III, 5 ; </w:t>
      </w:r>
      <w:r>
        <w:rPr>
          <w:i/>
        </w:rPr>
        <w:t xml:space="preserve">Act</w:t>
      </w:r>
      <w:r>
        <w:rPr/>
        <w:t xml:space="preserve">., I, 5, 8 ; X, 47.</w:t>
      </w:r>
    </w:p>
  </w:footnote>
  <w:footnote w:id="850">
    <w:p>
      <w:pPr>
        <w:pStyle w:val="Notedebasdepage"/>
      </w:pPr>
      <w:r>
        <w:rPr>
          <w:rStyle w:val="Appelnotedebasdep"/>
        </w:rPr>
        <w:footnoteRef/>
        <w:t xml:space="preserve"> </w:t>
      </w:r>
      <w:r>
        <w:rPr>
          <w:i/>
        </w:rPr>
        <w:t xml:space="preserve">Act</w:t>
      </w:r>
      <w:r>
        <w:rPr/>
        <w:t xml:space="preserve">., II, 1-4 ; XI, 15 ; XIX, 6. Cf. Jean, VII, 39.</w:t>
      </w:r>
    </w:p>
  </w:footnote>
  <w:footnote w:id="851">
    <w:p>
      <w:pPr>
        <w:pStyle w:val="Notedebasdepage"/>
      </w:pPr>
      <w:r>
        <w:rPr>
          <w:rStyle w:val="Appelnotedebasdep"/>
        </w:rPr>
        <w:footnoteRef/>
        <w:t xml:space="preserve"> </w:t>
      </w:r>
      <w:r>
        <w:rPr/>
        <w:t xml:space="preserve">Jean, XV, 26 ; XVI, 13.</w:t>
      </w:r>
    </w:p>
  </w:footnote>
  <w:footnote w:id="852">
    <w:p>
      <w:pPr>
        <w:pStyle w:val="Notedebasdepage"/>
      </w:pPr>
      <w:r>
        <w:rPr>
          <w:rStyle w:val="Appelnotedebasdep"/>
        </w:rPr>
        <w:footnoteRef/>
        <w:t xml:space="preserve"> </w:t>
      </w:r>
      <w:r>
        <w:rPr/>
        <w:t xml:space="preserve"> A </w:t>
      </w:r>
      <w:r>
        <w:rPr>
          <w:i/>
        </w:rPr>
        <w:t xml:space="preserve">peraklit</w:t>
      </w:r>
      <w:r>
        <w:rPr/>
        <w:t xml:space="preserve"> on opposait </w:t>
      </w:r>
      <w:r>
        <w:rPr>
          <w:i/>
        </w:rPr>
        <w:t xml:space="preserve">katigor</w:t>
      </w:r>
      <w:r>
        <w:rPr/>
        <w:t xml:space="preserve"> [Greek : chatêgoros], « l’accusateur. »</w:t>
      </w:r>
    </w:p>
  </w:footnote>
  <w:footnote w:id="853">
    <w:p>
      <w:pPr>
        <w:pStyle w:val="Notedebasdepage"/>
      </w:pPr>
      <w:r>
        <w:rPr>
          <w:rStyle w:val="Appelnotedebasdep"/>
        </w:rPr>
        <w:footnoteRef/>
        <w:t xml:space="preserve"> </w:t>
      </w:r>
      <w:r>
        <w:rPr/>
        <w:t xml:space="preserve">Jean, XIV, 16 ; I épître de Jean, II, 1.</w:t>
      </w:r>
    </w:p>
  </w:footnote>
  <w:footnote w:id="854">
    <w:p>
      <w:pPr>
        <w:pStyle w:val="Notedebasdepage"/>
      </w:pPr>
      <w:r>
        <w:rPr>
          <w:rStyle w:val="Appelnotedebasdep"/>
        </w:rPr>
        <w:footnoteRef/>
        <w:t xml:space="preserve"> </w:t>
      </w:r>
      <w:r>
        <w:rPr/>
        <w:t xml:space="preserve"> Jean, XIV, 26 ; XV, 26 ; XVI, 7 et suiv. Comp. Philon, </w:t>
      </w:r>
      <w:r>
        <w:rPr>
          <w:i/>
        </w:rPr>
        <w:t xml:space="preserve">De Mundi opificio</w:t>
      </w:r>
      <w:r>
        <w:rPr/>
        <w:t xml:space="preserve">, § 6.</w:t>
      </w:r>
    </w:p>
  </w:footnote>
  <w:footnote w:id="855">
    <w:p>
      <w:pPr>
        <w:pStyle w:val="Notedebasdepage"/>
      </w:pPr>
      <w:r>
        <w:rPr>
          <w:rStyle w:val="Appelnotedebasdep"/>
        </w:rPr>
        <w:footnoteRef/>
        <w:t xml:space="preserve"> </w:t>
      </w:r>
      <w:r>
        <w:rPr/>
        <w:t xml:space="preserve"> Jean, XV, 16. Comp. l’épître précitée, </w:t>
      </w:r>
      <w:r>
        <w:rPr>
          <w:i/>
        </w:rPr>
        <w:t xml:space="preserve">l. c</w:t>
      </w:r>
      <w:r>
        <w:rPr/>
        <w:t xml:space="preserve">.</w:t>
      </w:r>
    </w:p>
  </w:footnote>
  <w:footnote w:id="856">
    <w:p>
      <w:pPr>
        <w:pStyle w:val="Notedebasdepage"/>
      </w:pPr>
      <w:r>
        <w:rPr>
          <w:rStyle w:val="Appelnotedebasdep"/>
        </w:rPr>
        <w:footnoteRef/>
        <w:t xml:space="preserve"> </w:t>
      </w:r>
      <w:r>
        <w:rPr/>
        <w:t xml:space="preserve"> Papias, dans Eusèbe, </w:t>
      </w:r>
      <w:r>
        <w:rPr>
          <w:i/>
        </w:rPr>
        <w:t xml:space="preserve">Hist. eccl.</w:t>
      </w:r>
      <w:r>
        <w:rPr/>
        <w:t xml:space="preserve">, III, 39.</w:t>
      </w:r>
    </w:p>
  </w:footnote>
  <w:footnote w:id="857">
    <w:p>
      <w:pPr>
        <w:pStyle w:val="Notedebasdepage"/>
      </w:pPr>
      <w:r>
        <w:rPr>
          <w:rStyle w:val="Appelnotedebasdep"/>
        </w:rPr>
        <w:footnoteRef/>
        <w:t xml:space="preserve"> </w:t>
      </w:r>
      <w:r>
        <w:rPr/>
        <w:t xml:space="preserve">Jean, VI, 32 et suiv.</w:t>
      </w:r>
    </w:p>
  </w:footnote>
  <w:footnote w:id="858">
    <w:p>
      <w:pPr>
        <w:pStyle w:val="Notedebasdepage"/>
      </w:pPr>
      <w:r>
        <w:rPr>
          <w:rStyle w:val="Appelnotedebasdep"/>
        </w:rPr>
        <w:footnoteRef/>
        <w:t xml:space="preserve"> </w:t>
      </w:r>
      <w:r>
        <w:rPr/>
        <w:t xml:space="preserve">On trouve un tour analogue, provoquant un malentendu semblable, dans Jean, IV, 10 et suiv.</w:t>
      </w:r>
    </w:p>
  </w:footnote>
  <w:footnote w:id="859">
    <w:p>
      <w:pPr>
        <w:pStyle w:val="Notedebasdepage"/>
      </w:pPr>
      <w:r>
        <w:rPr>
          <w:rStyle w:val="Appelnotedebasdep"/>
        </w:rPr>
        <w:footnoteRef/>
        <w:t xml:space="preserve"> </w:t>
      </w:r>
      <w:r>
        <w:rPr/>
        <w:t xml:space="preserve">Tous ces discours portent trop fortement l’empreinte du style propre à Jean pour qu’il soit permis de les croire exacts. L’anecdote rapportée au chapitre VI du quatrième évangile ne saurait cependant être dénuée de réalité historique.</w:t>
      </w:r>
    </w:p>
  </w:footnote>
  <w:footnote w:id="860">
    <w:p>
      <w:pPr>
        <w:pStyle w:val="Notedebasdepage"/>
      </w:pPr>
      <w:r>
        <w:rPr>
          <w:rStyle w:val="Appelnotedebasdep"/>
        </w:rPr>
        <w:footnoteRef/>
        <w:t xml:space="preserve"> </w:t>
      </w:r>
      <w:r>
        <w:rPr/>
        <w:t xml:space="preserve"> Luc, XXIV, 30, 35.</w:t>
      </w:r>
    </w:p>
  </w:footnote>
  <w:footnote w:id="861">
    <w:p>
      <w:pPr>
        <w:pStyle w:val="Notedebasdepage"/>
      </w:pPr>
      <w:r>
        <w:rPr>
          <w:rStyle w:val="Appelnotedebasdep"/>
        </w:rPr>
        <w:footnoteRef/>
        <w:t xml:space="preserve"> </w:t>
      </w:r>
      <w:r>
        <w:rPr/>
        <w:t xml:space="preserve"> Luc, </w:t>
      </w:r>
      <w:r>
        <w:rPr>
          <w:i/>
        </w:rPr>
        <w:t xml:space="preserve">l. c.</w:t>
      </w:r>
      <w:r>
        <w:rPr/>
        <w:t xml:space="preserve"> ; Jean, XXI, 13.</w:t>
      </w:r>
    </w:p>
  </w:footnote>
  <w:footnote w:id="862">
    <w:p>
      <w:pPr>
        <w:pStyle w:val="Notedebasdepage"/>
      </w:pPr>
      <w:r>
        <w:rPr>
          <w:rStyle w:val="Appelnotedebasdep"/>
        </w:rPr>
        <w:footnoteRef/>
        <w:t xml:space="preserve"> </w:t>
      </w:r>
      <w:r>
        <w:rPr/>
        <w:t xml:space="preserve">Comp. Matth., VII, 10 ; XIV, 17 et suiv. ; XV, 34 et suiv. ; Marc, VI, 38 et suiv. ; Luc, IX, 13 et suiv. ; XI, 11 ; XXIV, 42 ; Jean, VI, 9 et suiv. ; XXI, 9 et suiv. Le bassin du lac de Tibériade est le seul endroit de la Palestine où le poisson forme une partie considérable de l’alimentation.</w:t>
      </w:r>
    </w:p>
  </w:footnote>
  <w:footnote w:id="863">
    <w:p>
      <w:pPr>
        <w:pStyle w:val="Notedebasdepage"/>
      </w:pPr>
      <w:r>
        <w:rPr>
          <w:rStyle w:val="Appelnotedebasdep"/>
        </w:rPr>
        <w:footnoteRef/>
        <w:t xml:space="preserve"> </w:t>
      </w:r>
      <w:r>
        <w:rPr/>
        <w:t xml:space="preserve"> Jean, XXI, 13 ; Luc, XXIV, 42-43. Comparez les plus vieilles représentations de la Cène rapportées ou rectifiées par M. de Rossi dans sa dissertation sur l’[Greek : ICHTHUS] (</w:t>
      </w:r>
      <w:r>
        <w:rPr>
          <w:i/>
        </w:rPr>
        <w:t xml:space="preserve">Spicilegium Solesmense</w:t>
      </w:r>
      <w:r>
        <w:rPr/>
        <w:t xml:space="preserve"> de dom Pitra, t. III, p. 568 et suiv.). L’intention de l’anagramme que renferme le mot[Greek : ICHTHUS] se combina probablement avec une tradition plus ancienne sur le rôle du poisson dans les repas évangéliques.</w:t>
      </w:r>
    </w:p>
  </w:footnote>
  <w:footnote w:id="864">
    <w:p>
      <w:pPr>
        <w:pStyle w:val="Notedebasdepage"/>
      </w:pPr>
      <w:r>
        <w:rPr>
          <w:rStyle w:val="Appelnotedebasdep"/>
        </w:rPr>
        <w:footnoteRef/>
        <w:t xml:space="preserve"> </w:t>
      </w:r>
      <w:r>
        <w:rPr/>
        <w:t xml:space="preserve">Luc, XXII, 15.</w:t>
      </w:r>
    </w:p>
  </w:footnote>
  <w:footnote w:id="865">
    <w:p>
      <w:pPr>
        <w:pStyle w:val="Notedebasdepage"/>
      </w:pPr>
      <w:r>
        <w:rPr>
          <w:rStyle w:val="Appelnotedebasdep"/>
        </w:rPr>
        <w:footnoteRef/>
        <w:t xml:space="preserve"> </w:t>
      </w:r>
      <w:r>
        <w:rPr>
          <w:i/>
        </w:rPr>
        <w:t xml:space="preserve">Act.</w:t>
      </w:r>
      <w:r>
        <w:rPr/>
        <w:t xml:space="preserve">, II, 42, 46.</w:t>
      </w:r>
    </w:p>
  </w:footnote>
  <w:footnote w:id="866">
    <w:p>
      <w:pPr>
        <w:pStyle w:val="Notedebasdepage"/>
      </w:pPr>
      <w:r>
        <w:rPr>
          <w:rStyle w:val="Appelnotedebasdep"/>
        </w:rPr>
        <w:footnoteRef/>
        <w:t xml:space="preserve"> </w:t>
      </w:r>
      <w:r>
        <w:rPr>
          <w:i/>
        </w:rPr>
        <w:t xml:space="preserve">I Cor.</w:t>
      </w:r>
      <w:r>
        <w:rPr/>
        <w:t xml:space="preserve">, XI, 20 et suiv.</w:t>
      </w:r>
    </w:p>
  </w:footnote>
  <w:footnote w:id="867">
    <w:p>
      <w:pPr>
        <w:pStyle w:val="Notedebasdepage"/>
      </w:pPr>
      <w:r>
        <w:rPr>
          <w:rStyle w:val="Appelnotedebasdep"/>
        </w:rPr>
        <w:footnoteRef/>
        <w:t xml:space="preserve"> </w:t>
      </w:r>
      <w:r>
        <w:rPr/>
        <w:t xml:space="preserve">Matth., XVIII, 20.</w:t>
      </w:r>
    </w:p>
  </w:footnote>
  <w:footnote w:id="868">
    <w:p>
      <w:pPr>
        <w:pStyle w:val="Notedebasdepage"/>
      </w:pPr>
      <w:r>
        <w:rPr>
          <w:rStyle w:val="Appelnotedebasdep"/>
        </w:rPr>
        <w:footnoteRef/>
        <w:t xml:space="preserve"> </w:t>
      </w:r>
      <w:r>
        <w:rPr/>
        <w:t xml:space="preserve">V. ci-dessus, p. 244.</w:t>
      </w:r>
    </w:p>
  </w:footnote>
  <w:footnote w:id="869">
    <w:p>
      <w:pPr>
        <w:pStyle w:val="Notedebasdepage"/>
      </w:pPr>
      <w:r>
        <w:rPr>
          <w:rStyle w:val="Appelnotedebasdep"/>
        </w:rPr>
        <w:footnoteRef/>
        <w:t xml:space="preserve"> </w:t>
      </w:r>
      <w:r>
        <w:rPr/>
        <w:t xml:space="preserve">Jean, XII entier.</w:t>
      </w:r>
    </w:p>
  </w:footnote>
  <w:footnote w:id="870">
    <w:p>
      <w:pPr>
        <w:pStyle w:val="Notedebasdepage"/>
      </w:pPr>
      <w:r>
        <w:rPr>
          <w:rStyle w:val="Appelnotedebasdep"/>
        </w:rPr>
        <w:footnoteRef/>
        <w:t xml:space="preserve"> </w:t>
      </w:r>
      <w:r>
        <w:rPr/>
        <w:t xml:space="preserve">Canon des Messes grecques et de la Messe latine (fort ancien).</w:t>
      </w:r>
    </w:p>
  </w:footnote>
  <w:footnote w:id="871">
    <w:p>
      <w:pPr>
        <w:pStyle w:val="Notedebasdepage"/>
      </w:pPr>
      <w:r>
        <w:rPr>
          <w:rStyle w:val="Appelnotedebasdep"/>
        </w:rPr>
        <w:footnoteRef/>
        <w:t xml:space="preserve"> </w:t>
      </w:r>
      <w:r>
        <w:rPr/>
        <w:t xml:space="preserve"> Luc, XIV, 33 ; </w:t>
      </w:r>
      <w:r>
        <w:rPr>
          <w:i/>
        </w:rPr>
        <w:t xml:space="preserve">Act.</w:t>
      </w:r>
      <w:r>
        <w:rPr/>
        <w:t xml:space="preserve">, IV, 32 et suiv. ; V, 1-11.</w:t>
      </w:r>
    </w:p>
  </w:footnote>
  <w:footnote w:id="872">
    <w:p>
      <w:pPr>
        <w:pStyle w:val="Notedebasdepage"/>
      </w:pPr>
      <w:r>
        <w:rPr>
          <w:rStyle w:val="Appelnotedebasdep"/>
        </w:rPr>
        <w:footnoteRef/>
        <w:t xml:space="preserve"> </w:t>
      </w:r>
      <w:r>
        <w:rPr/>
        <w:t xml:space="preserve">Matth., XIX, 10 et suiv. ; Luc, XVIII, 29 et suiv.</w:t>
      </w:r>
    </w:p>
  </w:footnote>
  <w:footnote w:id="873">
    <w:p>
      <w:pPr>
        <w:pStyle w:val="Notedebasdepage"/>
      </w:pPr>
      <w:r>
        <w:rPr>
          <w:rStyle w:val="Appelnotedebasdep"/>
        </w:rPr>
        <w:footnoteRef/>
        <w:t xml:space="preserve"> </w:t>
      </w:r>
      <w:r>
        <w:rPr/>
        <w:t xml:space="preserve"> C’est la doctrine constante de Paul. Comp. </w:t>
      </w:r>
      <w:r>
        <w:rPr>
          <w:i/>
        </w:rPr>
        <w:t xml:space="preserve">Apoc.</w:t>
      </w:r>
      <w:r>
        <w:rPr/>
        <w:t xml:space="preserve">, XIV, 4.</w:t>
      </w:r>
    </w:p>
  </w:footnote>
  <w:footnote w:id="874">
    <w:p>
      <w:pPr>
        <w:pStyle w:val="Notedebasdepage"/>
      </w:pPr>
      <w:r>
        <w:rPr>
          <w:rStyle w:val="Appelnotedebasdep"/>
        </w:rPr>
        <w:footnoteRef/>
        <w:t xml:space="preserve"> </w:t>
      </w:r>
      <w:r>
        <w:rPr/>
        <w:t xml:space="preserve">Matth., XIX, 12.</w:t>
      </w:r>
    </w:p>
  </w:footnote>
  <w:footnote w:id="875">
    <w:p>
      <w:pPr>
        <w:pStyle w:val="Notedebasdepage"/>
      </w:pPr>
      <w:r>
        <w:rPr>
          <w:rStyle w:val="Appelnotedebasdep"/>
        </w:rPr>
        <w:footnoteRef/>
        <w:t xml:space="preserve"> </w:t>
      </w:r>
      <w:r>
        <w:rPr/>
        <w:t xml:space="preserve"> Matth., XVIII, 8-9. Cf. Talm. de Babyl., </w:t>
      </w:r>
      <w:r>
        <w:rPr>
          <w:i/>
        </w:rPr>
        <w:t xml:space="preserve">Niddah</w:t>
      </w:r>
      <w:r>
        <w:rPr/>
        <w:t xml:space="preserve">, 13 </w:t>
      </w:r>
      <w:r>
        <w:rPr>
          <w:i/>
        </w:rPr>
        <w:t xml:space="preserve">b</w:t>
      </w:r>
      <w:r>
        <w:rPr/>
        <w:t xml:space="preserve">.</w:t>
      </w:r>
    </w:p>
  </w:footnote>
  <w:footnote w:id="876">
    <w:p>
      <w:pPr>
        <w:pStyle w:val="Notedebasdepage"/>
      </w:pPr>
      <w:r>
        <w:rPr>
          <w:rStyle w:val="Appelnotedebasdep"/>
        </w:rPr>
        <w:footnoteRef/>
        <w:t xml:space="preserve"> </w:t>
      </w:r>
      <w:r>
        <w:rPr/>
        <w:t xml:space="preserve"> Matth., XXII, 30 ; Marc, XII, 25 ; Luc, XX, 35 ; Évangile ébionite dit « des Égyptiens », dans Clém. d’Alex., </w:t>
      </w:r>
      <w:r>
        <w:rPr>
          <w:i/>
        </w:rPr>
        <w:t xml:space="preserve">Strom.</w:t>
      </w:r>
      <w:r>
        <w:rPr/>
        <w:t xml:space="preserve">, III, 9, 13, et Clem. Rom., Epist. II, 12.</w:t>
      </w:r>
    </w:p>
  </w:footnote>
  <w:footnote w:id="877">
    <w:p>
      <w:pPr>
        <w:pStyle w:val="Notedebasdepage"/>
      </w:pPr>
      <w:r>
        <w:rPr>
          <w:rStyle w:val="Appelnotedebasdep"/>
        </w:rPr>
        <w:footnoteRef/>
        <w:t xml:space="preserve"> </w:t>
      </w:r>
      <w:r>
        <w:rPr/>
        <w:t xml:space="preserve">Luc, XVIII, 29-30.</w:t>
      </w:r>
    </w:p>
  </w:footnote>
  <w:footnote w:id="878">
    <w:p>
      <w:pPr>
        <w:pStyle w:val="Notedebasdepage"/>
      </w:pPr>
      <w:r>
        <w:rPr>
          <w:rStyle w:val="Appelnotedebasdep"/>
        </w:rPr>
        <w:footnoteRef/>
        <w:t xml:space="preserve"> </w:t>
      </w:r>
      <w:r>
        <w:rPr/>
        <w:t xml:space="preserve">Matth., X entier ; XXIV, 9 ; Marc, VI, 8 et suiv. ; IX, 40 ; XIII, 9-13 ; Luc, IX, 3 et suiv. ; X, 1 et suiv. ; XII, 4 et suiv. ; XXI, 17 ; Jean, XV, 18 et suiv. ; XVII, 14.</w:t>
      </w:r>
    </w:p>
  </w:footnote>
  <w:footnote w:id="879">
    <w:p>
      <w:pPr>
        <w:pStyle w:val="Notedebasdepage"/>
      </w:pPr>
      <w:r>
        <w:rPr>
          <w:rStyle w:val="Appelnotedebasdep"/>
        </w:rPr>
        <w:footnoteRef/>
        <w:t xml:space="preserve"> </w:t>
      </w:r>
      <w:r>
        <w:rPr/>
        <w:t xml:space="preserve">Marc, IX, 38 et suiv.</w:t>
      </w:r>
    </w:p>
  </w:footnote>
  <w:footnote w:id="880">
    <w:p>
      <w:pPr>
        <w:pStyle w:val="Notedebasdepage"/>
      </w:pPr>
      <w:r>
        <w:rPr>
          <w:rStyle w:val="Appelnotedebasdep"/>
        </w:rPr>
        <w:footnoteRef/>
        <w:t xml:space="preserve"> </w:t>
      </w:r>
      <w:r>
        <w:rPr/>
        <w:t xml:space="preserve"> Matth., X, 8. Comp. Midrasch Ialkout, </w:t>
      </w:r>
      <w:r>
        <w:rPr>
          <w:i/>
        </w:rPr>
        <w:t xml:space="preserve">Deutéron.</w:t>
      </w:r>
      <w:r>
        <w:rPr/>
        <w:t xml:space="preserve">, sect. 824.</w:t>
      </w:r>
    </w:p>
  </w:footnote>
  <w:footnote w:id="881">
    <w:p>
      <w:pPr>
        <w:pStyle w:val="Notedebasdepage"/>
      </w:pPr>
      <w:r>
        <w:rPr>
          <w:rStyle w:val="Appelnotedebasdep"/>
        </w:rPr>
        <w:footnoteRef/>
        <w:t xml:space="preserve"> </w:t>
      </w:r>
      <w:r>
        <w:rPr/>
        <w:t xml:space="preserve">Matth., X, 20 ; Jean, XIV, 16 et suiv., 26 ; XV, 26 ; XVI, 7, 13.</w:t>
      </w:r>
    </w:p>
  </w:footnote>
  <w:footnote w:id="882">
    <w:p>
      <w:pPr>
        <w:pStyle w:val="Notedebasdepage"/>
      </w:pPr>
      <w:r>
        <w:rPr>
          <w:rStyle w:val="Appelnotedebasdep"/>
        </w:rPr>
        <w:footnoteRef/>
        <w:t xml:space="preserve"> </w:t>
      </w:r>
      <w:r>
        <w:rPr/>
        <w:t xml:space="preserve">Les traits Matth., X, 38 ; XVI, 24 ; Marc, VIII, 34 ; Luc, XIV, 27, ne peuvent avoir été conçus qu’après la mort de Jésus.</w:t>
      </w:r>
    </w:p>
  </w:footnote>
  <w:footnote w:id="883">
    <w:p>
      <w:pPr>
        <w:pStyle w:val="Notedebasdepage"/>
      </w:pPr>
      <w:r>
        <w:rPr>
          <w:rStyle w:val="Appelnotedebasdep"/>
        </w:rPr>
        <w:footnoteRef/>
        <w:t xml:space="preserve"> </w:t>
      </w:r>
      <w:r>
        <w:rPr/>
        <w:t xml:space="preserve">Matth., X, 24-31 ; Luc, XII, 4-7.</w:t>
      </w:r>
    </w:p>
  </w:footnote>
  <w:footnote w:id="884">
    <w:p>
      <w:pPr>
        <w:pStyle w:val="Notedebasdepage"/>
      </w:pPr>
      <w:r>
        <w:rPr>
          <w:rStyle w:val="Appelnotedebasdep"/>
        </w:rPr>
        <w:footnoteRef/>
        <w:t xml:space="preserve"> </w:t>
      </w:r>
      <w:r>
        <w:rPr/>
        <w:t xml:space="preserve">Matth., X, 32-33 ; Marc, VIII, 38 ; Luc, IX, 26 ; XII, 8-9.</w:t>
      </w:r>
    </w:p>
  </w:footnote>
  <w:footnote w:id="885">
    <w:p>
      <w:pPr>
        <w:pStyle w:val="Notedebasdepage"/>
      </w:pPr>
      <w:r>
        <w:rPr>
          <w:rStyle w:val="Appelnotedebasdep"/>
        </w:rPr>
        <w:footnoteRef/>
        <w:t xml:space="preserve"> </w:t>
      </w:r>
      <w:r>
        <w:rPr/>
        <w:t xml:space="preserve">Luc, XIV, 26. Il faut tenir compte ici de l’exagération du style de Luc.</w:t>
      </w:r>
    </w:p>
  </w:footnote>
  <w:footnote w:id="886">
    <w:p>
      <w:pPr>
        <w:pStyle w:val="Notedebasdepage"/>
      </w:pPr>
      <w:r>
        <w:rPr>
          <w:rStyle w:val="Appelnotedebasdep"/>
        </w:rPr>
        <w:footnoteRef/>
        <w:t xml:space="preserve"> </w:t>
      </w:r>
      <w:r>
        <w:rPr/>
        <w:t xml:space="preserve">Luc, XIV, 33.</w:t>
      </w:r>
    </w:p>
  </w:footnote>
  <w:footnote w:id="887">
    <w:p>
      <w:pPr>
        <w:pStyle w:val="Notedebasdepage"/>
      </w:pPr>
      <w:r>
        <w:rPr>
          <w:rStyle w:val="Appelnotedebasdep"/>
        </w:rPr>
        <w:footnoteRef/>
        <w:t xml:space="preserve"> </w:t>
      </w:r>
      <w:r>
        <w:rPr/>
        <w:t xml:space="preserve">Matth., X, 37-39 ; XVI, 24-25 ; Luc, IX, 23-25 ; XIV, 26-27 ; XVII, 33 ; Jean, XII, 25.</w:t>
      </w:r>
    </w:p>
  </w:footnote>
  <w:footnote w:id="888">
    <w:p>
      <w:pPr>
        <w:pStyle w:val="Notedebasdepage"/>
      </w:pPr>
      <w:r>
        <w:rPr>
          <w:rStyle w:val="Appelnotedebasdep"/>
        </w:rPr>
        <w:footnoteRef/>
        <w:t xml:space="preserve"> </w:t>
      </w:r>
      <w:r>
        <w:rPr/>
        <w:t xml:space="preserve">Matth., VIII, 21-22 ; Luc, IX, 59-62.</w:t>
      </w:r>
    </w:p>
  </w:footnote>
  <w:footnote w:id="889">
    <w:p>
      <w:pPr>
        <w:pStyle w:val="Notedebasdepage"/>
      </w:pPr>
      <w:r>
        <w:rPr>
          <w:rStyle w:val="Appelnotedebasdep"/>
        </w:rPr>
        <w:footnoteRef/>
        <w:t xml:space="preserve"> </w:t>
      </w:r>
      <w:r>
        <w:rPr/>
        <w:t xml:space="preserve">Matth., XI, 28-30.</w:t>
      </w:r>
    </w:p>
  </w:footnote>
  <w:footnote w:id="890">
    <w:p>
      <w:pPr>
        <w:pStyle w:val="Notedebasdepage"/>
      </w:pPr>
      <w:r>
        <w:rPr>
          <w:rStyle w:val="Appelnotedebasdep"/>
        </w:rPr>
        <w:footnoteRef/>
        <w:t xml:space="preserve"> </w:t>
      </w:r>
      <w:r>
        <w:rPr/>
        <w:t xml:space="preserve">Matth., XVI, 24-23 ; XVII, 12, 21-22.</w:t>
      </w:r>
    </w:p>
  </w:footnote>
  <w:footnote w:id="891">
    <w:p>
      <w:pPr>
        <w:pStyle w:val="Notedebasdepage"/>
      </w:pPr>
      <w:r>
        <w:rPr>
          <w:rStyle w:val="Appelnotedebasdep"/>
        </w:rPr>
        <w:footnoteRef/>
        <w:t xml:space="preserve"> </w:t>
      </w:r>
      <w:r>
        <w:rPr/>
        <w:t xml:space="preserve">Marc, X, 45.</w:t>
      </w:r>
    </w:p>
  </w:footnote>
  <w:footnote w:id="892">
    <w:p>
      <w:pPr>
        <w:pStyle w:val="Notedebasdepage"/>
      </w:pPr>
      <w:r>
        <w:rPr>
          <w:rStyle w:val="Appelnotedebasdep"/>
        </w:rPr>
        <w:footnoteRef/>
        <w:t xml:space="preserve"> </w:t>
      </w:r>
      <w:r>
        <w:rPr/>
        <w:t xml:space="preserve">Luc, VI, 22 et suiv.</w:t>
      </w:r>
    </w:p>
  </w:footnote>
  <w:footnote w:id="893">
    <w:p>
      <w:pPr>
        <w:pStyle w:val="Notedebasdepage"/>
      </w:pPr>
      <w:r>
        <w:rPr>
          <w:rStyle w:val="Appelnotedebasdep"/>
        </w:rPr>
        <w:footnoteRef/>
        <w:t xml:space="preserve"> </w:t>
      </w:r>
      <w:r>
        <w:rPr/>
        <w:t xml:space="preserve">Luc, XII, 50.</w:t>
      </w:r>
    </w:p>
  </w:footnote>
  <w:footnote w:id="894">
    <w:p>
      <w:pPr>
        <w:pStyle w:val="Notedebasdepage"/>
      </w:pPr>
      <w:r>
        <w:rPr>
          <w:rStyle w:val="Appelnotedebasdep"/>
        </w:rPr>
        <w:footnoteRef/>
        <w:t xml:space="preserve"> </w:t>
      </w:r>
      <w:r>
        <w:rPr/>
        <w:t xml:space="preserve">Matth., X, 34-36 ; Luc, XII, 51-53. Comparez Michée, VII, 5-6.</w:t>
      </w:r>
    </w:p>
  </w:footnote>
  <w:footnote w:id="895">
    <w:p>
      <w:pPr>
        <w:pStyle w:val="Notedebasdepage"/>
      </w:pPr>
      <w:r>
        <w:rPr>
          <w:rStyle w:val="Appelnotedebasdep"/>
        </w:rPr>
        <w:footnoteRef/>
        <w:t xml:space="preserve"> </w:t>
      </w:r>
      <w:r>
        <w:rPr/>
        <w:t xml:space="preserve">Luc, XII, 49. Voir le texte grec.</w:t>
      </w:r>
    </w:p>
  </w:footnote>
  <w:footnote w:id="896">
    <w:p>
      <w:pPr>
        <w:pStyle w:val="Notedebasdepage"/>
      </w:pPr>
      <w:r>
        <w:rPr>
          <w:rStyle w:val="Appelnotedebasdep"/>
        </w:rPr>
        <w:footnoteRef/>
        <w:t xml:space="preserve"> </w:t>
      </w:r>
      <w:r>
        <w:rPr/>
        <w:t xml:space="preserve">Jean, XVI, 2.</w:t>
      </w:r>
    </w:p>
  </w:footnote>
  <w:footnote w:id="897">
    <w:p>
      <w:pPr>
        <w:pStyle w:val="Notedebasdepage"/>
      </w:pPr>
      <w:r>
        <w:rPr>
          <w:rStyle w:val="Appelnotedebasdep"/>
        </w:rPr>
        <w:footnoteRef/>
        <w:t xml:space="preserve"> </w:t>
      </w:r>
      <w:r>
        <w:rPr/>
        <w:t xml:space="preserve">Jean, XV, 18-20.</w:t>
      </w:r>
    </w:p>
  </w:footnote>
  <w:footnote w:id="898">
    <w:p>
      <w:pPr>
        <w:pStyle w:val="Notedebasdepage"/>
      </w:pPr>
      <w:r>
        <w:rPr>
          <w:rStyle w:val="Appelnotedebasdep"/>
        </w:rPr>
        <w:footnoteRef/>
        <w:t xml:space="preserve"> </w:t>
      </w:r>
      <w:r>
        <w:rPr/>
        <w:t xml:space="preserve">Jean, XII, 27.</w:t>
      </w:r>
    </w:p>
  </w:footnote>
  <w:footnote w:id="899">
    <w:p>
      <w:pPr>
        <w:pStyle w:val="Notedebasdepage"/>
      </w:pPr>
      <w:r>
        <w:rPr>
          <w:rStyle w:val="Appelnotedebasdep"/>
        </w:rPr>
        <w:footnoteRef/>
        <w:t xml:space="preserve"> </w:t>
      </w:r>
      <w:r>
        <w:rPr/>
        <w:t xml:space="preserve">Marc, III, 21 et suiv.</w:t>
      </w:r>
    </w:p>
  </w:footnote>
  <w:footnote w:id="900">
    <w:p>
      <w:pPr>
        <w:pStyle w:val="Notedebasdepage"/>
      </w:pPr>
      <w:r>
        <w:rPr>
          <w:rStyle w:val="Appelnotedebasdep"/>
        </w:rPr>
        <w:footnoteRef/>
        <w:t xml:space="preserve"> </w:t>
      </w:r>
      <w:r>
        <w:rPr/>
        <w:t xml:space="preserve">Marc, III, 22 ; Jean, VII, 20 ; C, 48 et suiv. ; X, 20 et suiv.</w:t>
      </w:r>
    </w:p>
  </w:footnote>
  <w:footnote w:id="901">
    <w:p>
      <w:pPr>
        <w:pStyle w:val="Notedebasdepage"/>
      </w:pPr>
      <w:r>
        <w:rPr>
          <w:rStyle w:val="Appelnotedebasdep"/>
        </w:rPr>
        <w:footnoteRef/>
        <w:t xml:space="preserve"> </w:t>
      </w:r>
      <w:r>
        <w:rPr/>
        <w:t xml:space="preserve">Matth., VIII, 10 ; IX, 2, 22, 28-29 ; XVII, 19 ; Jean, VI, 29, etc.</w:t>
      </w:r>
    </w:p>
  </w:footnote>
  <w:footnote w:id="902">
    <w:p>
      <w:pPr>
        <w:pStyle w:val="Notedebasdepage"/>
      </w:pPr>
      <w:r>
        <w:rPr>
          <w:rStyle w:val="Appelnotedebasdep"/>
        </w:rPr>
        <w:footnoteRef/>
        <w:t xml:space="preserve"> </w:t>
      </w:r>
      <w:r>
        <w:rPr/>
        <w:t xml:space="preserve">Matth., XVII, 16 ; Marc, III, 5 ; IX, 18 ; Luc, VIII, 45 ; IX, 41.</w:t>
      </w:r>
    </w:p>
  </w:footnote>
  <w:footnote w:id="903">
    <w:p>
      <w:pPr>
        <w:pStyle w:val="Notedebasdepage"/>
      </w:pPr>
      <w:r>
        <w:rPr>
          <w:rStyle w:val="Appelnotedebasdep"/>
        </w:rPr>
        <w:footnoteRef/>
        <w:t xml:space="preserve"> </w:t>
      </w:r>
      <w:r>
        <w:rPr/>
        <w:t xml:space="preserve">C’est surtout dans Marc que ce trait est sensible : IV, 40 ; V, 15 ; IX, 31 ; X, 32.</w:t>
      </w:r>
    </w:p>
  </w:footnote>
  <w:footnote w:id="904">
    <w:p>
      <w:pPr>
        <w:pStyle w:val="Notedebasdepage"/>
      </w:pPr>
      <w:r>
        <w:rPr>
          <w:rStyle w:val="Appelnotedebasdep"/>
        </w:rPr>
        <w:footnoteRef/>
        <w:t xml:space="preserve"> </w:t>
      </w:r>
      <w:r>
        <w:rPr/>
        <w:t xml:space="preserve">Marc, XI, 12-14, 20 et suiv.</w:t>
      </w:r>
    </w:p>
  </w:footnote>
  <w:footnote w:id="905">
    <w:p>
      <w:pPr>
        <w:pStyle w:val="Notedebasdepage"/>
      </w:pPr>
      <w:r>
        <w:rPr>
          <w:rStyle w:val="Appelnotedebasdep"/>
        </w:rPr>
        <w:footnoteRef/>
        <w:t xml:space="preserve"> </w:t>
      </w:r>
      <w:r>
        <w:rPr/>
        <w:t xml:space="preserve">Matth., XII, 14-16 ; Marc, III, 7 ; IX, 29-30.</w:t>
      </w:r>
    </w:p>
  </w:footnote>
  <w:footnote w:id="906">
    <w:p>
      <w:pPr>
        <w:pStyle w:val="Notedebasdepage"/>
      </w:pPr>
      <w:r>
        <w:rPr>
          <w:rStyle w:val="Appelnotedebasdep"/>
        </w:rPr>
        <w:footnoteRef/>
        <w:t xml:space="preserve"> </w:t>
      </w:r>
      <w:r>
        <w:rPr/>
        <w:t xml:space="preserve">Marc, VIII, 15 ; Luc, XIII, 32.</w:t>
      </w:r>
    </w:p>
  </w:footnote>
  <w:footnote w:id="907">
    <w:p>
      <w:pPr>
        <w:pStyle w:val="Notedebasdepage"/>
      </w:pPr>
      <w:r>
        <w:rPr>
          <w:rStyle w:val="Appelnotedebasdep"/>
        </w:rPr>
        <w:footnoteRef/>
        <w:t xml:space="preserve"> </w:t>
      </w:r>
      <w:r>
        <w:rPr/>
        <w:t xml:space="preserve">Luc, IX, 9 ; XXIII, 8.</w:t>
      </w:r>
    </w:p>
  </w:footnote>
  <w:footnote w:id="908">
    <w:p>
      <w:pPr>
        <w:pStyle w:val="Notedebasdepage"/>
      </w:pPr>
      <w:r>
        <w:rPr>
          <w:rStyle w:val="Appelnotedebasdep"/>
        </w:rPr>
        <w:footnoteRef/>
        <w:t xml:space="preserve"> </w:t>
      </w:r>
      <w:r>
        <w:rPr>
          <w:i/>
        </w:rPr>
        <w:t xml:space="preserve">Lucius</w:t>
      </w:r>
      <w:r>
        <w:rPr/>
        <w:t xml:space="preserve">, attribué à Lucien, 4.</w:t>
      </w:r>
    </w:p>
  </w:footnote>
  <w:footnote w:id="909">
    <w:p>
      <w:pPr>
        <w:pStyle w:val="Notedebasdepage"/>
      </w:pPr>
      <w:r>
        <w:rPr>
          <w:rStyle w:val="Appelnotedebasdep"/>
        </w:rPr>
        <w:footnoteRef/>
        <w:t xml:space="preserve"> </w:t>
      </w:r>
      <w:r>
        <w:rPr/>
        <w:t xml:space="preserve">Matth., XIV, 1 et suiv. ; Marc, VI, 14 et suiv. ; Luc, IX, 7 et suiv.</w:t>
      </w:r>
    </w:p>
  </w:footnote>
  <w:footnote w:id="910">
    <w:p>
      <w:pPr>
        <w:pStyle w:val="Notedebasdepage"/>
      </w:pPr>
      <w:r>
        <w:rPr>
          <w:rStyle w:val="Appelnotedebasdep"/>
        </w:rPr>
        <w:footnoteRef/>
        <w:t xml:space="preserve"> </w:t>
      </w:r>
      <w:r>
        <w:rPr/>
        <w:t xml:space="preserve">Luc, XIII, 31 et suiv.</w:t>
      </w:r>
    </w:p>
  </w:footnote>
  <w:footnote w:id="911">
    <w:p>
      <w:pPr>
        <w:pStyle w:val="Notedebasdepage"/>
      </w:pPr>
      <w:r>
        <w:rPr>
          <w:rStyle w:val="Appelnotedebasdep"/>
        </w:rPr>
        <w:footnoteRef/>
        <w:t xml:space="preserve"> </w:t>
      </w:r>
      <w:r>
        <w:rPr/>
        <w:t xml:space="preserve">Jean, VII, 5.</w:t>
      </w:r>
    </w:p>
  </w:footnote>
  <w:footnote w:id="912">
    <w:p>
      <w:pPr>
        <w:pStyle w:val="Notedebasdepage"/>
      </w:pPr>
      <w:r>
        <w:rPr>
          <w:rStyle w:val="Appelnotedebasdep"/>
        </w:rPr>
        <w:footnoteRef/>
        <w:t xml:space="preserve"> </w:t>
      </w:r>
      <w:r>
        <w:rPr/>
        <w:t xml:space="preserve">Matth., XII, 39, 45 ; XIII, 15 ; XVI, 4 ; Luc, XI, 29.</w:t>
      </w:r>
    </w:p>
  </w:footnote>
  <w:footnote w:id="913">
    <w:p>
      <w:pPr>
        <w:pStyle w:val="Notedebasdepage"/>
      </w:pPr>
      <w:r>
        <w:rPr>
          <w:rStyle w:val="Appelnotedebasdep"/>
        </w:rPr>
        <w:footnoteRef/>
        <w:t xml:space="preserve"> </w:t>
      </w:r>
      <w:r>
        <w:rPr/>
        <w:t xml:space="preserve">Matth., XI, 21-24 ; Luc, X, 12-15.</w:t>
      </w:r>
    </w:p>
  </w:footnote>
  <w:footnote w:id="914">
    <w:p>
      <w:pPr>
        <w:pStyle w:val="Notedebasdepage"/>
      </w:pPr>
      <w:r>
        <w:rPr>
          <w:rStyle w:val="Appelnotedebasdep"/>
        </w:rPr>
        <w:footnoteRef/>
        <w:t xml:space="preserve"> </w:t>
      </w:r>
      <w:r>
        <w:rPr/>
        <w:t xml:space="preserve">Matth., XII, 41-42 ; Luc, XI, 31-32.</w:t>
      </w:r>
    </w:p>
  </w:footnote>
  <w:footnote w:id="915">
    <w:p>
      <w:pPr>
        <w:pStyle w:val="Notedebasdepage"/>
      </w:pPr>
      <w:r>
        <w:rPr>
          <w:rStyle w:val="Appelnotedebasdep"/>
        </w:rPr>
        <w:footnoteRef/>
        <w:t xml:space="preserve"> </w:t>
      </w:r>
      <w:r>
        <w:rPr/>
        <w:t xml:space="preserve">Matth., VIII, 20 ; Luc, IX, 58.</w:t>
      </w:r>
    </w:p>
  </w:footnote>
  <w:footnote w:id="916">
    <w:p>
      <w:pPr>
        <w:pStyle w:val="Notedebasdepage"/>
      </w:pPr>
      <w:r>
        <w:rPr>
          <w:rStyle w:val="Appelnotedebasdep"/>
        </w:rPr>
        <w:footnoteRef/>
        <w:t xml:space="preserve"> </w:t>
      </w:r>
      <w:r>
        <w:rPr/>
        <w:t xml:space="preserve">Luc, XVIII, 8.</w:t>
      </w:r>
    </w:p>
  </w:footnote>
  <w:footnote w:id="917">
    <w:p>
      <w:pPr>
        <w:pStyle w:val="Notedebasdepage"/>
      </w:pPr>
      <w:r>
        <w:rPr>
          <w:rStyle w:val="Appelnotedebasdep"/>
        </w:rPr>
        <w:footnoteRef/>
        <w:t xml:space="preserve"> </w:t>
      </w:r>
      <w:r>
        <w:rPr/>
        <w:t xml:space="preserve">Matth., XII, 34 ; XV, 14 ; XXIII, 33.</w:t>
      </w:r>
    </w:p>
  </w:footnote>
  <w:footnote w:id="918">
    <w:p>
      <w:pPr>
        <w:pStyle w:val="Notedebasdepage"/>
      </w:pPr>
      <w:r>
        <w:rPr>
          <w:rStyle w:val="Appelnotedebasdep"/>
        </w:rPr>
        <w:footnoteRef/>
        <w:t xml:space="preserve"> </w:t>
      </w:r>
      <w:r>
        <w:rPr/>
        <w:t xml:space="preserve">Matth., III, 7.</w:t>
      </w:r>
    </w:p>
  </w:footnote>
  <w:footnote w:id="919">
    <w:p>
      <w:pPr>
        <w:pStyle w:val="Notedebasdepage"/>
      </w:pPr>
      <w:r>
        <w:rPr>
          <w:rStyle w:val="Appelnotedebasdep"/>
        </w:rPr>
        <w:footnoteRef/>
        <w:t xml:space="preserve"> </w:t>
      </w:r>
      <w:r>
        <w:rPr/>
        <w:t xml:space="preserve">Matth., XII, 30 ; Luc, XXI, 23.</w:t>
      </w:r>
    </w:p>
  </w:footnote>
  <w:footnote w:id="920">
    <w:p>
      <w:pPr>
        <w:pStyle w:val="Notedebasdepage"/>
      </w:pPr>
      <w:r>
        <w:rPr>
          <w:rStyle w:val="Appelnotedebasdep"/>
        </w:rPr>
        <w:footnoteRef/>
        <w:t xml:space="preserve"> </w:t>
      </w:r>
      <w:r>
        <w:rPr/>
        <w:t xml:space="preserve">XLII, 2-3.</w:t>
      </w:r>
    </w:p>
  </w:footnote>
  <w:footnote w:id="921">
    <w:p>
      <w:pPr>
        <w:pStyle w:val="Notedebasdepage"/>
      </w:pPr>
      <w:r>
        <w:rPr>
          <w:rStyle w:val="Appelnotedebasdep"/>
        </w:rPr>
        <w:footnoteRef/>
        <w:t xml:space="preserve"> </w:t>
      </w:r>
      <w:r>
        <w:rPr/>
        <w:t xml:space="preserve">Matth., XII, 19-20.</w:t>
      </w:r>
    </w:p>
  </w:footnote>
  <w:footnote w:id="922">
    <w:p>
      <w:pPr>
        <w:pStyle w:val="Notedebasdepage"/>
      </w:pPr>
      <w:r>
        <w:rPr>
          <w:rStyle w:val="Appelnotedebasdep"/>
        </w:rPr>
        <w:footnoteRef/>
        <w:t xml:space="preserve"> </w:t>
      </w:r>
      <w:r>
        <w:rPr/>
        <w:t xml:space="preserve">Matth., X, 14-15, 21 et suiv., 34 et suiv. ; Luc, XIX, 27.</w:t>
      </w:r>
    </w:p>
  </w:footnote>
  <w:footnote w:id="923">
    <w:p>
      <w:pPr>
        <w:pStyle w:val="Notedebasdepage"/>
      </w:pPr>
      <w:r>
        <w:rPr>
          <w:rStyle w:val="Appelnotedebasdep"/>
        </w:rPr>
        <w:footnoteRef/>
        <w:t xml:space="preserve"> </w:t>
      </w:r>
      <w:r>
        <w:rPr/>
        <w:t xml:space="preserve">Marc, VII, 1 ; Luc, V, 17 et suiv. ; VII, 36.</w:t>
      </w:r>
    </w:p>
  </w:footnote>
  <w:footnote w:id="924">
    <w:p>
      <w:pPr>
        <w:pStyle w:val="Notedebasdepage"/>
      </w:pPr>
      <w:r>
        <w:rPr>
          <w:rStyle w:val="Appelnotedebasdep"/>
        </w:rPr>
        <w:footnoteRef/>
        <w:t xml:space="preserve"> </w:t>
      </w:r>
      <w:r>
        <w:rPr/>
        <w:t xml:space="preserve"> Matth., VI, 2, 5, 16 ; IX, 11, 14 ; XII, 2 ; XXIII, 5, 15, 23 ; Luc, V, 30 ; VI, 2, 7 ; XI, 39 et suiv. ; XVIII, 12 ; Jean, IX, 16 ; </w:t>
      </w:r>
      <w:r>
        <w:rPr>
          <w:i/>
        </w:rPr>
        <w:t xml:space="preserve">Pirké Aboth</w:t>
      </w:r>
      <w:r>
        <w:rPr/>
        <w:t xml:space="preserve">, I, 16 ; Jos., </w:t>
      </w:r>
      <w:r>
        <w:rPr>
          <w:i/>
        </w:rPr>
        <w:t xml:space="preserve">Ant.</w:t>
      </w:r>
      <w:r>
        <w:rPr/>
        <w:t xml:space="preserve">, XVII, II, 4 ; XVIII, I, 3 ; </w:t>
      </w:r>
      <w:r>
        <w:rPr>
          <w:i/>
        </w:rPr>
        <w:t xml:space="preserve">Vita</w:t>
      </w:r>
      <w:r>
        <w:rPr/>
        <w:t xml:space="preserve">, 38 ; Talm. de Bab., </w:t>
      </w:r>
      <w:r>
        <w:rPr>
          <w:i/>
        </w:rPr>
        <w:t xml:space="preserve">Sota</w:t>
      </w:r>
      <w:r>
        <w:rPr/>
        <w:t xml:space="preserve">, 22 </w:t>
      </w:r>
      <w:r>
        <w:rPr>
          <w:i/>
        </w:rPr>
        <w:t xml:space="preserve">b</w:t>
      </w:r>
      <w:r>
        <w:rPr/>
        <w:t xml:space="preserve">.</w:t>
      </w:r>
    </w:p>
  </w:footnote>
  <w:footnote w:id="925">
    <w:p>
      <w:pPr>
        <w:pStyle w:val="Notedebasdepage"/>
      </w:pPr>
      <w:r>
        <w:rPr>
          <w:rStyle w:val="Appelnotedebasdep"/>
        </w:rPr>
        <w:footnoteRef/>
        <w:t xml:space="preserve"> </w:t>
      </w:r>
      <w:r>
        <w:rPr/>
        <w:t xml:space="preserve"> Talm. de Jérusalem, </w:t>
      </w:r>
      <w:r>
        <w:rPr>
          <w:i/>
        </w:rPr>
        <w:t xml:space="preserve">Berakoth</w:t>
      </w:r>
      <w:r>
        <w:rPr/>
        <w:t xml:space="preserve">, IX, sub fin. ; </w:t>
      </w:r>
      <w:r>
        <w:rPr>
          <w:i/>
        </w:rPr>
        <w:t xml:space="preserve">Sota</w:t>
      </w:r>
      <w:r>
        <w:rPr/>
        <w:t xml:space="preserve">, V, 7 ; Talm. de Babylone, </w:t>
      </w:r>
      <w:r>
        <w:rPr>
          <w:i/>
        </w:rPr>
        <w:t xml:space="preserve">Sota</w:t>
      </w:r>
      <w:r>
        <w:rPr/>
        <w:t xml:space="preserve"> 22 </w:t>
      </w:r>
      <w:r>
        <w:rPr>
          <w:i/>
        </w:rPr>
        <w:t xml:space="preserve">b</w:t>
      </w:r>
      <w:r>
        <w:rPr/>
        <w:t xml:space="preserve">. Les deux rédactions de ce curieux passage offrent de sensibles différences. Nous avons en général suivi la rédaction de Babylone, qui semble plus naturelle. Cf. Epiph., </w:t>
      </w:r>
      <w:r>
        <w:rPr>
          <w:i/>
        </w:rPr>
        <w:t xml:space="preserve">Adv. hær.</w:t>
      </w:r>
      <w:r>
        <w:rPr/>
        <w:t xml:space="preserve"> XVI, 1. Les traits d’Épiphane et plusieurs de ceux du Talmud peuvent, du reste, se rapporter à une époque postérieure à Jésus, époque où « pharisien » était devenu synonyme de « dévot. »</w:t>
      </w:r>
    </w:p>
  </w:footnote>
  <w:footnote w:id="926">
    <w:p>
      <w:pPr>
        <w:pStyle w:val="Notedebasdepage"/>
      </w:pPr>
      <w:r>
        <w:rPr>
          <w:rStyle w:val="Appelnotedebasdep"/>
        </w:rPr>
        <w:footnoteRef/>
        <w:t xml:space="preserve"> </w:t>
      </w:r>
      <w:r>
        <w:rPr/>
        <w:t xml:space="preserve"> Matth., V, 20 ; XV, 4 ; XXIII, 3, 16 et suiv. ; Jean, VIII, 7 ; Jos., </w:t>
      </w:r>
      <w:r>
        <w:rPr>
          <w:i/>
        </w:rPr>
        <w:t xml:space="preserve">Ant.</w:t>
      </w:r>
      <w:r>
        <w:rPr/>
        <w:t xml:space="preserve">, XII, IX, 1 ; XIII, X, 5.</w:t>
      </w:r>
    </w:p>
  </w:footnote>
  <w:footnote w:id="927">
    <w:p>
      <w:pPr>
        <w:pStyle w:val="Notedebasdepage"/>
      </w:pPr>
      <w:r>
        <w:rPr>
          <w:rStyle w:val="Appelnotedebasdep"/>
        </w:rPr>
        <w:footnoteRef/>
        <w:t xml:space="preserve"> </w:t>
      </w:r>
      <w:r>
        <w:rPr/>
        <w:t xml:space="preserve"> Talm. de Bab., </w:t>
      </w:r>
      <w:r>
        <w:rPr>
          <w:i/>
        </w:rPr>
        <w:t xml:space="preserve">Schabbath</w:t>
      </w:r>
      <w:r>
        <w:rPr/>
        <w:t xml:space="preserve">, 31 </w:t>
      </w:r>
      <w:r>
        <w:rPr>
          <w:i/>
        </w:rPr>
        <w:t xml:space="preserve">a ; Joma</w:t>
      </w:r>
      <w:r>
        <w:rPr/>
        <w:t xml:space="preserve">, 35 </w:t>
      </w:r>
      <w:r>
        <w:rPr>
          <w:i/>
        </w:rPr>
        <w:t xml:space="preserve">b</w:t>
      </w:r>
      <w:r>
        <w:rPr/>
        <w:t xml:space="preserve">.</w:t>
      </w:r>
    </w:p>
  </w:footnote>
  <w:footnote w:id="928">
    <w:p>
      <w:pPr>
        <w:pStyle w:val="Notedebasdepage"/>
      </w:pPr>
      <w:r>
        <w:rPr>
          <w:rStyle w:val="Appelnotedebasdep"/>
        </w:rPr>
        <w:footnoteRef/>
        <w:t xml:space="preserve"> </w:t>
      </w:r>
      <w:r>
        <w:rPr>
          <w:i/>
        </w:rPr>
        <w:t xml:space="preserve">Eccli</w:t>
      </w:r>
      <w:r>
        <w:rPr/>
        <w:t xml:space="preserve">, XVII, 21 et suiv. ; XXXV, 1 et suiv.</w:t>
      </w:r>
    </w:p>
  </w:footnote>
  <w:footnote w:id="929">
    <w:p>
      <w:pPr>
        <w:pStyle w:val="Notedebasdepage"/>
      </w:pPr>
      <w:r>
        <w:rPr>
          <w:rStyle w:val="Appelnotedebasdep"/>
        </w:rPr>
        <w:footnoteRef/>
        <w:t xml:space="preserve"> </w:t>
      </w:r>
      <w:r>
        <w:rPr/>
        <w:t xml:space="preserve"> Talm. de Jérus, </w:t>
      </w:r>
      <w:r>
        <w:rPr>
          <w:i/>
        </w:rPr>
        <w:t xml:space="preserve">Sanhédrin</w:t>
      </w:r>
      <w:r>
        <w:rPr/>
        <w:t xml:space="preserve">, XI, 1 ; Talm. de Bab., </w:t>
      </w:r>
      <w:r>
        <w:rPr>
          <w:i/>
        </w:rPr>
        <w:t xml:space="preserve">Sanhédrin</w:t>
      </w:r>
      <w:r>
        <w:rPr/>
        <w:t xml:space="preserve">, 100 </w:t>
      </w:r>
      <w:r>
        <w:rPr>
          <w:i/>
        </w:rPr>
        <w:t xml:space="preserve">b</w:t>
      </w:r>
      <w:r>
        <w:rPr/>
        <w:t xml:space="preserve">.</w:t>
      </w:r>
    </w:p>
  </w:footnote>
  <w:footnote w:id="930">
    <w:p>
      <w:pPr>
        <w:pStyle w:val="Notedebasdepage"/>
      </w:pPr>
      <w:r>
        <w:rPr>
          <w:rStyle w:val="Appelnotedebasdep"/>
        </w:rPr>
        <w:footnoteRef/>
        <w:t xml:space="preserve"> </w:t>
      </w:r>
      <w:r>
        <w:rPr/>
        <w:t xml:space="preserve">Matth., XV, 2.</w:t>
      </w:r>
    </w:p>
  </w:footnote>
  <w:footnote w:id="931">
    <w:p>
      <w:pPr>
        <w:pStyle w:val="Notedebasdepage"/>
      </w:pPr>
      <w:r>
        <w:rPr>
          <w:rStyle w:val="Appelnotedebasdep"/>
        </w:rPr>
        <w:footnoteRef/>
        <w:t xml:space="preserve"> </w:t>
      </w:r>
      <w:r>
        <w:rPr/>
        <w:t xml:space="preserve">Matth., XV, 2 et suiv. ; Marc, VII, 2 et suiv.</w:t>
      </w:r>
    </w:p>
  </w:footnote>
  <w:footnote w:id="932">
    <w:p>
      <w:pPr>
        <w:pStyle w:val="Notedebasdepage"/>
      </w:pPr>
      <w:r>
        <w:rPr>
          <w:rStyle w:val="Appelnotedebasdep"/>
        </w:rPr>
        <w:footnoteRef/>
        <w:t xml:space="preserve"> </w:t>
      </w:r>
      <w:r>
        <w:rPr/>
        <w:t xml:space="preserve">Matth., XV, 2 et suiv. ; Marc, VII, 4, 8 ; Luc, V, sub fin., et VI, init. ; XI, 38 et suiv.</w:t>
      </w:r>
    </w:p>
  </w:footnote>
  <w:footnote w:id="933">
    <w:p>
      <w:pPr>
        <w:pStyle w:val="Notedebasdepage"/>
      </w:pPr>
      <w:r>
        <w:rPr>
          <w:rStyle w:val="Appelnotedebasdep"/>
        </w:rPr>
        <w:footnoteRef/>
        <w:t xml:space="preserve"> </w:t>
      </w:r>
      <w:r>
        <w:rPr/>
        <w:t xml:space="preserve">Luc, XI, 41.</w:t>
      </w:r>
    </w:p>
  </w:footnote>
  <w:footnote w:id="934">
    <w:p>
      <w:pPr>
        <w:pStyle w:val="Notedebasdepage"/>
      </w:pPr>
      <w:r>
        <w:rPr>
          <w:rStyle w:val="Appelnotedebasdep"/>
        </w:rPr>
        <w:footnoteRef/>
        <w:t xml:space="preserve"> </w:t>
      </w:r>
      <w:r>
        <w:rPr/>
        <w:t xml:space="preserve"> Luc, XVIII, 9-14 ; comp. </w:t>
      </w:r>
      <w:r>
        <w:rPr>
          <w:i/>
        </w:rPr>
        <w:t xml:space="preserve">ibid.</w:t>
      </w:r>
      <w:r>
        <w:rPr/>
        <w:t xml:space="preserve">, XIV, 7-11.</w:t>
      </w:r>
    </w:p>
  </w:footnote>
  <w:footnote w:id="935">
    <w:p>
      <w:pPr>
        <w:pStyle w:val="Notedebasdepage"/>
      </w:pPr>
      <w:r>
        <w:rPr>
          <w:rStyle w:val="Appelnotedebasdep"/>
        </w:rPr>
        <w:footnoteRef/>
        <w:t xml:space="preserve"> </w:t>
      </w:r>
      <w:r>
        <w:rPr/>
        <w:t xml:space="preserve">Matth., III, 7 et suiv. ; XVII, 12-13.</w:t>
      </w:r>
    </w:p>
  </w:footnote>
  <w:footnote w:id="936">
    <w:p>
      <w:pPr>
        <w:pStyle w:val="Notedebasdepage"/>
      </w:pPr>
      <w:r>
        <w:rPr>
          <w:rStyle w:val="Appelnotedebasdep"/>
        </w:rPr>
        <w:footnoteRef/>
        <w:t xml:space="preserve"> </w:t>
      </w:r>
      <w:r>
        <w:rPr/>
        <w:t xml:space="preserve">Matth., XIV, 5 ; XXI, 26 ; Marc, XI, 32 ; Luc, XX, 6.</w:t>
      </w:r>
    </w:p>
  </w:footnote>
  <w:footnote w:id="937">
    <w:p>
      <w:pPr>
        <w:pStyle w:val="Notedebasdepage"/>
      </w:pPr>
      <w:r>
        <w:rPr>
          <w:rStyle w:val="Appelnotedebasdep"/>
        </w:rPr>
        <w:footnoteRef/>
        <w:t xml:space="preserve"> </w:t>
      </w:r>
      <w:r>
        <w:rPr/>
        <w:t xml:space="preserve">Matth., XII, 3-8 ; XXIII, 16 et suiv.</w:t>
      </w:r>
    </w:p>
  </w:footnote>
  <w:footnote w:id="938">
    <w:p>
      <w:pPr>
        <w:pStyle w:val="Notedebasdepage"/>
      </w:pPr>
      <w:r>
        <w:rPr>
          <w:rStyle w:val="Appelnotedebasdep"/>
        </w:rPr>
        <w:footnoteRef/>
        <w:t xml:space="preserve"> </w:t>
      </w:r>
      <w:r>
        <w:rPr/>
        <w:t xml:space="preserve">Marc, III, 6.</w:t>
      </w:r>
    </w:p>
  </w:footnote>
  <w:footnote w:id="939">
    <w:p>
      <w:pPr>
        <w:pStyle w:val="Notedebasdepage"/>
      </w:pPr>
      <w:r>
        <w:rPr>
          <w:rStyle w:val="Appelnotedebasdep"/>
        </w:rPr>
        <w:footnoteRef/>
        <w:t xml:space="preserve"> </w:t>
      </w:r>
      <w:r>
        <w:rPr/>
        <w:t xml:space="preserve">Luc, XIII, 33.</w:t>
      </w:r>
    </w:p>
  </w:footnote>
  <w:footnote w:id="940">
    <w:p>
      <w:pPr>
        <w:pStyle w:val="Notedebasdepage"/>
      </w:pPr>
      <w:r>
        <w:rPr>
          <w:rStyle w:val="Appelnotedebasdep"/>
        </w:rPr>
        <w:footnoteRef/>
        <w:t xml:space="preserve"> </w:t>
      </w:r>
      <w:r>
        <w:rPr/>
        <w:t xml:space="preserve">Matth., XVI, 20-21 ; Marc, VIII, 30-31.</w:t>
      </w:r>
    </w:p>
  </w:footnote>
  <w:footnote w:id="941">
    <w:p>
      <w:pPr>
        <w:pStyle w:val="Notedebasdepage"/>
      </w:pPr>
      <w:r>
        <w:rPr>
          <w:rStyle w:val="Appelnotedebasdep"/>
        </w:rPr>
        <w:footnoteRef/>
        <w:t xml:space="preserve"> </w:t>
      </w:r>
      <w:r>
        <w:rPr/>
        <w:t xml:space="preserve">Jean, VII, 1.</w:t>
      </w:r>
    </w:p>
  </w:footnote>
  <w:footnote w:id="942">
    <w:p>
      <w:pPr>
        <w:pStyle w:val="Notedebasdepage"/>
      </w:pPr>
      <w:r>
        <w:rPr>
          <w:rStyle w:val="Appelnotedebasdep"/>
        </w:rPr>
        <w:footnoteRef/>
        <w:t xml:space="preserve"> </w:t>
      </w:r>
      <w:r>
        <w:rPr/>
        <w:t xml:space="preserve">Jean, VII, 5.</w:t>
      </w:r>
    </w:p>
  </w:footnote>
  <w:footnote w:id="943">
    <w:p>
      <w:pPr>
        <w:pStyle w:val="Notedebasdepage"/>
      </w:pPr>
      <w:r>
        <w:rPr>
          <w:rStyle w:val="Appelnotedebasdep"/>
        </w:rPr>
        <w:footnoteRef/>
        <w:t xml:space="preserve"> </w:t>
      </w:r>
      <w:r>
        <w:rPr/>
        <w:t xml:space="preserve">Jean, VII, 10.</w:t>
      </w:r>
    </w:p>
  </w:footnote>
  <w:footnote w:id="944">
    <w:p>
      <w:pPr>
        <w:pStyle w:val="Notedebasdepage"/>
      </w:pPr>
      <w:r>
        <w:rPr>
          <w:rStyle w:val="Appelnotedebasdep"/>
        </w:rPr>
        <w:footnoteRef/>
        <w:t xml:space="preserve"> </w:t>
      </w:r>
      <w:r>
        <w:rPr/>
        <w:t xml:space="preserve">Matth., XXVII, 55 ; Marc, XV, 41 ; Luc, XXIII, 49, 55.</w:t>
      </w:r>
    </w:p>
  </w:footnote>
  <w:footnote w:id="945">
    <w:p>
      <w:pPr>
        <w:pStyle w:val="Notedebasdepage"/>
      </w:pPr>
      <w:r>
        <w:rPr>
          <w:rStyle w:val="Appelnotedebasdep"/>
        </w:rPr>
        <w:footnoteRef/>
        <w:t xml:space="preserve"> </w:t>
      </w:r>
      <w:r>
        <w:rPr/>
        <w:t xml:space="preserve">Jean, VII, 20, 25, 30, 32.</w:t>
      </w:r>
    </w:p>
  </w:footnote>
  <w:footnote w:id="946">
    <w:p>
      <w:pPr>
        <w:pStyle w:val="Notedebasdepage"/>
      </w:pPr>
      <w:r>
        <w:rPr>
          <w:rStyle w:val="Appelnotedebasdep"/>
        </w:rPr>
        <w:footnoteRef/>
        <w:t xml:space="preserve"> </w:t>
      </w:r>
      <w:r>
        <w:rPr/>
        <w:t xml:space="preserve">Jean, VII, 50 et suiv.</w:t>
      </w:r>
    </w:p>
  </w:footnote>
  <w:footnote w:id="947">
    <w:p>
      <w:pPr>
        <w:pStyle w:val="Notedebasdepage"/>
      </w:pPr>
      <w:r>
        <w:rPr>
          <w:rStyle w:val="Appelnotedebasdep"/>
        </w:rPr>
        <w:footnoteRef/>
        <w:t xml:space="preserve"> </w:t>
      </w:r>
      <w:r>
        <w:rPr/>
        <w:t xml:space="preserve">Matth., X, 11-13 ; Marc, VI, 10 ; Luc, X, 5-8.</w:t>
      </w:r>
    </w:p>
  </w:footnote>
  <w:footnote w:id="948">
    <w:p>
      <w:pPr>
        <w:pStyle w:val="Notedebasdepage"/>
      </w:pPr>
      <w:r>
        <w:rPr>
          <w:rStyle w:val="Appelnotedebasdep"/>
        </w:rPr>
        <w:footnoteRef/>
        <w:t xml:space="preserve"> </w:t>
      </w:r>
      <w:r>
        <w:rPr/>
        <w:t xml:space="preserve">Matth., XXI, 3 ; XXVI, 18 ; Marc, XI, 3 ; XIV, 13-14 ; Luc, XIX, 31 ; XXII, 10-12.</w:t>
      </w:r>
    </w:p>
  </w:footnote>
  <w:footnote w:id="949">
    <w:p>
      <w:pPr>
        <w:pStyle w:val="Notedebasdepage"/>
      </w:pPr>
      <w:r>
        <w:rPr>
          <w:rStyle w:val="Appelnotedebasdep"/>
        </w:rPr>
        <w:footnoteRef/>
        <w:t xml:space="preserve"> </w:t>
      </w:r>
      <w:r>
        <w:rPr/>
        <w:t xml:space="preserve"> Matth, XXIV, 1-2 ; Marc, XIII, 1-2 ; Luc, XIX, 44 ; XXI, 5-6. Cf Mare, XI, 11.</w:t>
      </w:r>
    </w:p>
  </w:footnote>
  <w:footnote w:id="950">
    <w:p>
      <w:pPr>
        <w:pStyle w:val="Notedebasdepage"/>
      </w:pPr>
      <w:r>
        <w:rPr>
          <w:rStyle w:val="Appelnotedebasdep"/>
        </w:rPr>
        <w:footnoteRef/>
        <w:t xml:space="preserve"> </w:t>
      </w:r>
      <w:r>
        <w:rPr/>
        <w:t xml:space="preserve">Marc, XII, 41 et suiv. ; Luc, XXI, 1 et suiv.</w:t>
      </w:r>
    </w:p>
  </w:footnote>
  <w:footnote w:id="951">
    <w:p>
      <w:pPr>
        <w:pStyle w:val="Notedebasdepage"/>
      </w:pPr>
      <w:r>
        <w:rPr>
          <w:rStyle w:val="Appelnotedebasdep"/>
        </w:rPr>
        <w:footnoteRef/>
        <w:t xml:space="preserve"> </w:t>
      </w:r>
      <w:r>
        <w:rPr/>
        <w:t xml:space="preserve">Marc, XII, 41.</w:t>
      </w:r>
    </w:p>
  </w:footnote>
  <w:footnote w:id="952">
    <w:p>
      <w:pPr>
        <w:pStyle w:val="Notedebasdepage"/>
      </w:pPr>
      <w:r>
        <w:rPr>
          <w:rStyle w:val="Appelnotedebasdep"/>
        </w:rPr>
        <w:footnoteRef/>
        <w:t xml:space="preserve"> </w:t>
      </w:r>
      <w:r>
        <w:rPr/>
        <w:t xml:space="preserve"> Marc, XI, 19 ; Luc, XXII, 39 ; Jean, XVIII, 1-2. Ce verger ne pouvait être fort loin de l’endroit où la piété des catholiques a entouré d’un mur quelques vieux oliviers. Le mot </w:t>
      </w:r>
      <w:r>
        <w:rPr>
          <w:i/>
        </w:rPr>
        <w:t xml:space="preserve">Gethsémani</w:t>
      </w:r>
      <w:r>
        <w:rPr/>
        <w:t xml:space="preserve"> semble signifier « pressoir à huile. »</w:t>
      </w:r>
    </w:p>
  </w:footnote>
  <w:footnote w:id="953">
    <w:p>
      <w:pPr>
        <w:pStyle w:val="Notedebasdepage"/>
      </w:pPr>
      <w:r>
        <w:rPr>
          <w:rStyle w:val="Appelnotedebasdep"/>
        </w:rPr>
        <w:footnoteRef/>
        <w:t xml:space="preserve"> </w:t>
      </w:r>
      <w:r>
        <w:rPr/>
        <w:t xml:space="preserve">Luc, XXI, 37 ; XXII, 39 ; Jean, VIII, 1-2.</w:t>
      </w:r>
    </w:p>
  </w:footnote>
  <w:footnote w:id="954">
    <w:p>
      <w:pPr>
        <w:pStyle w:val="Notedebasdepage"/>
      </w:pPr>
      <w:r>
        <w:rPr>
          <w:rStyle w:val="Appelnotedebasdep"/>
        </w:rPr>
        <w:footnoteRef/>
        <w:t xml:space="preserve"> </w:t>
      </w:r>
      <w:r>
        <w:rPr/>
        <w:t xml:space="preserve"> Talm. de Bab., </w:t>
      </w:r>
      <w:r>
        <w:rPr>
          <w:i/>
        </w:rPr>
        <w:t xml:space="preserve">Pesachim</w:t>
      </w:r>
      <w:r>
        <w:rPr/>
        <w:t xml:space="preserve">, 53 </w:t>
      </w:r>
      <w:r>
        <w:rPr>
          <w:i/>
        </w:rPr>
        <w:t xml:space="preserve">a</w:t>
      </w:r>
      <w:r>
        <w:rPr/>
        <w:t xml:space="preserve">.</w:t>
      </w:r>
    </w:p>
  </w:footnote>
  <w:footnote w:id="955">
    <w:p>
      <w:pPr>
        <w:pStyle w:val="Notedebasdepage"/>
      </w:pPr>
      <w:r>
        <w:rPr>
          <w:rStyle w:val="Appelnotedebasdep"/>
        </w:rPr>
        <w:footnoteRef/>
        <w:t xml:space="preserve"> </w:t>
      </w:r>
      <w:r>
        <w:rPr/>
        <w:t xml:space="preserve"> Talm. de Jérus., </w:t>
      </w:r>
      <w:r>
        <w:rPr>
          <w:i/>
        </w:rPr>
        <w:t xml:space="preserve">Taanith</w:t>
      </w:r>
      <w:r>
        <w:rPr/>
        <w:t xml:space="preserve">, IV, 8.</w:t>
      </w:r>
    </w:p>
  </w:footnote>
  <w:footnote w:id="956">
    <w:p>
      <w:pPr>
        <w:pStyle w:val="Notedebasdepage"/>
      </w:pPr>
      <w:r>
        <w:rPr>
          <w:rStyle w:val="Appelnotedebasdep"/>
        </w:rPr>
        <w:footnoteRef/>
        <w:t xml:space="preserve"> </w:t>
      </w:r>
      <w:r>
        <w:rPr/>
        <w:t xml:space="preserve"> Aujourd’hui </w:t>
      </w:r>
      <w:r>
        <w:rPr>
          <w:i/>
        </w:rPr>
        <w:t xml:space="preserve">El-Azirié</w:t>
      </w:r>
      <w:r>
        <w:rPr/>
        <w:t xml:space="preserve"> (de </w:t>
      </w:r>
      <w:r>
        <w:rPr>
          <w:i/>
        </w:rPr>
        <w:t xml:space="preserve">El-Azir</w:t>
      </w:r>
      <w:r>
        <w:rPr/>
        <w:t xml:space="preserve">, nom arabe de Lazare) ; dans des textes chrétiens du moyen âge, </w:t>
      </w:r>
      <w:r>
        <w:rPr>
          <w:i/>
        </w:rPr>
        <w:t xml:space="preserve">Lazarium</w:t>
      </w:r>
      <w:r>
        <w:rPr/>
        <w:t xml:space="preserve">.</w:t>
      </w:r>
    </w:p>
  </w:footnote>
  <w:footnote w:id="957">
    <w:p>
      <w:pPr>
        <w:pStyle w:val="Notedebasdepage"/>
      </w:pPr>
      <w:r>
        <w:rPr>
          <w:rStyle w:val="Appelnotedebasdep"/>
        </w:rPr>
        <w:footnoteRef/>
        <w:t xml:space="preserve"> </w:t>
      </w:r>
      <w:r>
        <w:rPr/>
        <w:t xml:space="preserve">Matth., XXI, 17-18 ; Marc, XI, 11-12.</w:t>
      </w:r>
    </w:p>
  </w:footnote>
  <w:footnote w:id="958">
    <w:p>
      <w:pPr>
        <w:pStyle w:val="Notedebasdepage"/>
      </w:pPr>
      <w:r>
        <w:rPr>
          <w:rStyle w:val="Appelnotedebasdep"/>
        </w:rPr>
        <w:footnoteRef/>
        <w:t xml:space="preserve"> </w:t>
      </w:r>
      <w:r>
        <w:rPr/>
        <w:t xml:space="preserve">Jean, XI, 5.</w:t>
      </w:r>
    </w:p>
  </w:footnote>
  <w:footnote w:id="959">
    <w:p>
      <w:pPr>
        <w:pStyle w:val="Notedebasdepage"/>
      </w:pPr>
      <w:r>
        <w:rPr>
          <w:rStyle w:val="Appelnotedebasdep"/>
        </w:rPr>
        <w:footnoteRef/>
        <w:t xml:space="preserve"> </w:t>
      </w:r>
      <w:r>
        <w:rPr/>
        <w:t xml:space="preserve">Luc, 38-42 ; Jean, XII, 2.</w:t>
      </w:r>
    </w:p>
  </w:footnote>
  <w:footnote w:id="960">
    <w:p>
      <w:pPr>
        <w:pStyle w:val="Notedebasdepage"/>
      </w:pPr>
      <w:r>
        <w:rPr>
          <w:rStyle w:val="Appelnotedebasdep"/>
        </w:rPr>
        <w:footnoteRef/>
        <w:t xml:space="preserve"> </w:t>
      </w:r>
      <w:r>
        <w:rPr/>
        <w:t xml:space="preserve">Jean, XI, 20.</w:t>
      </w:r>
    </w:p>
  </w:footnote>
  <w:footnote w:id="961">
    <w:p>
      <w:pPr>
        <w:pStyle w:val="Notedebasdepage"/>
      </w:pPr>
      <w:r>
        <w:rPr>
          <w:rStyle w:val="Appelnotedebasdep"/>
        </w:rPr>
        <w:footnoteRef/>
        <w:t xml:space="preserve"> </w:t>
      </w:r>
      <w:r>
        <w:rPr/>
        <w:t xml:space="preserve">Luc, X, 38 et suiv.</w:t>
      </w:r>
    </w:p>
  </w:footnote>
  <w:footnote w:id="962">
    <w:p>
      <w:pPr>
        <w:pStyle w:val="Notedebasdepage"/>
      </w:pPr>
      <w:r>
        <w:rPr>
          <w:rStyle w:val="Appelnotedebasdep"/>
        </w:rPr>
        <w:footnoteRef/>
        <w:t xml:space="preserve"> </w:t>
      </w:r>
      <w:r>
        <w:rPr/>
        <w:t xml:space="preserve">Jean, XI, 35-36.</w:t>
      </w:r>
    </w:p>
  </w:footnote>
  <w:footnote w:id="963">
    <w:p>
      <w:pPr>
        <w:pStyle w:val="Notedebasdepage"/>
      </w:pPr>
      <w:r>
        <w:rPr>
          <w:rStyle w:val="Appelnotedebasdep"/>
        </w:rPr>
        <w:footnoteRef/>
        <w:t xml:space="preserve"> </w:t>
      </w:r>
      <w:r>
        <w:rPr/>
        <w:t xml:space="preserve">Matth., XXVI, 6 ; Marc, XIV, 3 ; Luc, VII, 40, 43 ; Jean, XII, 1 et suiv.</w:t>
      </w:r>
    </w:p>
  </w:footnote>
  <w:footnote w:id="964">
    <w:p>
      <w:pPr>
        <w:pStyle w:val="Notedebasdepage"/>
      </w:pPr>
      <w:r>
        <w:rPr>
          <w:rStyle w:val="Appelnotedebasdep"/>
        </w:rPr>
        <w:footnoteRef/>
        <w:t xml:space="preserve"> </w:t>
      </w:r>
      <w:r>
        <w:rPr/>
        <w:t xml:space="preserve">Marc, XIII, 3.</w:t>
      </w:r>
    </w:p>
  </w:footnote>
  <w:footnote w:id="965">
    <w:p>
      <w:pPr>
        <w:pStyle w:val="Notedebasdepage"/>
      </w:pPr>
      <w:r>
        <w:rPr>
          <w:rStyle w:val="Appelnotedebasdep"/>
        </w:rPr>
        <w:footnoteRef/>
        <w:t xml:space="preserve"> </w:t>
      </w:r>
      <w:r>
        <w:rPr/>
        <w:t xml:space="preserve"> Josèphe, </w:t>
      </w:r>
      <w:r>
        <w:rPr>
          <w:i/>
        </w:rPr>
        <w:t xml:space="preserve">B.J.</w:t>
      </w:r>
      <w:r>
        <w:rPr/>
        <w:t xml:space="preserve">, V, v, 6.</w:t>
      </w:r>
    </w:p>
  </w:footnote>
  <w:footnote w:id="966">
    <w:p>
      <w:pPr>
        <w:pStyle w:val="Notedebasdepage"/>
      </w:pPr>
      <w:r>
        <w:rPr>
          <w:rStyle w:val="Appelnotedebasdep"/>
        </w:rPr>
        <w:footnoteRef/>
        <w:t xml:space="preserve"> </w:t>
      </w:r>
      <w:r>
        <w:rPr/>
        <w:t xml:space="preserve">Matth., XXIII, 37 ; Luc, XIII, 34.</w:t>
      </w:r>
    </w:p>
  </w:footnote>
  <w:footnote w:id="967">
    <w:p>
      <w:pPr>
        <w:pStyle w:val="Notedebasdepage"/>
      </w:pPr>
      <w:r>
        <w:rPr>
          <w:rStyle w:val="Appelnotedebasdep"/>
        </w:rPr>
        <w:footnoteRef/>
        <w:t xml:space="preserve"> </w:t>
      </w:r>
      <w:r>
        <w:rPr/>
        <w:t xml:space="preserve">Jean, VII, 13 ; XII, 42-43 ; XIX, 38.</w:t>
      </w:r>
    </w:p>
  </w:footnote>
  <w:footnote w:id="968">
    <w:p>
      <w:pPr>
        <w:pStyle w:val="Notedebasdepage"/>
      </w:pPr>
      <w:r>
        <w:rPr>
          <w:rStyle w:val="Appelnotedebasdep"/>
        </w:rPr>
        <w:footnoteRef/>
        <w:t xml:space="preserve"> </w:t>
      </w:r>
      <w:r>
        <w:rPr/>
        <w:t xml:space="preserve"> I Esdr., X, 8 ; Épître aux Hébr., X, 34 ; Talm. de Jérus., </w:t>
      </w:r>
      <w:r>
        <w:rPr>
          <w:i/>
        </w:rPr>
        <w:t xml:space="preserve">Moëd katon</w:t>
      </w:r>
      <w:r>
        <w:rPr/>
        <w:t xml:space="preserve">, III, 1.</w:t>
      </w:r>
    </w:p>
  </w:footnote>
  <w:footnote w:id="969">
    <w:p>
      <w:pPr>
        <w:pStyle w:val="Notedebasdepage"/>
      </w:pPr>
      <w:r>
        <w:rPr>
          <w:rStyle w:val="Appelnotedebasdep"/>
        </w:rPr>
        <w:footnoteRef/>
        <w:t xml:space="preserve"> </w:t>
      </w:r>
      <w:r>
        <w:rPr/>
        <w:t xml:space="preserve">Jean, VII, 45 et suiv.</w:t>
      </w:r>
    </w:p>
  </w:footnote>
  <w:footnote w:id="970">
    <w:p>
      <w:pPr>
        <w:pStyle w:val="Notedebasdepage"/>
      </w:pPr>
      <w:r>
        <w:rPr>
          <w:rStyle w:val="Appelnotedebasdep"/>
        </w:rPr>
        <w:footnoteRef/>
        <w:t xml:space="preserve"> </w:t>
      </w:r>
      <w:r>
        <w:rPr/>
        <w:t xml:space="preserve">Jean, VIII, 13 et suiv.</w:t>
      </w:r>
    </w:p>
  </w:footnote>
  <w:footnote w:id="971">
    <w:p>
      <w:pPr>
        <w:pStyle w:val="Notedebasdepage"/>
      </w:pPr>
      <w:r>
        <w:rPr>
          <w:rStyle w:val="Appelnotedebasdep"/>
        </w:rPr>
        <w:footnoteRef/>
        <w:t xml:space="preserve"> </w:t>
      </w:r>
      <w:r>
        <w:rPr/>
        <w:t xml:space="preserve">Matth., XXI, 23-37.</w:t>
      </w:r>
    </w:p>
  </w:footnote>
  <w:footnote w:id="972">
    <w:p>
      <w:pPr>
        <w:pStyle w:val="Notedebasdepage"/>
      </w:pPr>
      <w:r>
        <w:rPr>
          <w:rStyle w:val="Appelnotedebasdep"/>
        </w:rPr>
        <w:footnoteRef/>
        <w:t xml:space="preserve"> </w:t>
      </w:r>
      <w:r>
        <w:rPr/>
        <w:t xml:space="preserve">Matth., XXII, 23 et suiv.</w:t>
      </w:r>
    </w:p>
  </w:footnote>
  <w:footnote w:id="973">
    <w:p>
      <w:pPr>
        <w:pStyle w:val="Notedebasdepage"/>
      </w:pPr>
      <w:r>
        <w:rPr>
          <w:rStyle w:val="Appelnotedebasdep"/>
        </w:rPr>
        <w:footnoteRef/>
        <w:t xml:space="preserve"> </w:t>
      </w:r>
      <w:r>
        <w:rPr/>
        <w:t xml:space="preserve">Matth., XXII, 42 et suiv.</w:t>
      </w:r>
    </w:p>
  </w:footnote>
  <w:footnote w:id="974">
    <w:p>
      <w:pPr>
        <w:pStyle w:val="Notedebasdepage"/>
      </w:pPr>
      <w:r>
        <w:rPr>
          <w:rStyle w:val="Appelnotedebasdep"/>
        </w:rPr>
        <w:footnoteRef/>
        <w:t xml:space="preserve"> </w:t>
      </w:r>
      <w:r>
        <w:rPr/>
        <w:t xml:space="preserve">Matth., XXII, 36 et suiv., 46.</w:t>
      </w:r>
    </w:p>
  </w:footnote>
  <w:footnote w:id="975">
    <w:p>
      <w:pPr>
        <w:pStyle w:val="Notedebasdepage"/>
      </w:pPr>
      <w:r>
        <w:rPr>
          <w:rStyle w:val="Appelnotedebasdep"/>
        </w:rPr>
        <w:footnoteRef/>
        <w:t xml:space="preserve"> </w:t>
      </w:r>
      <w:r>
        <w:rPr/>
        <w:t xml:space="preserve">Voir surtout les discussions rapportées par Jean, chapitre VIII par exemple ; il est vrai que l’authenticité de pareils morceaux n’est que relative.</w:t>
      </w:r>
    </w:p>
  </w:footnote>
  <w:footnote w:id="976">
    <w:p>
      <w:pPr>
        <w:pStyle w:val="Notedebasdepage"/>
      </w:pPr>
      <w:r>
        <w:rPr>
          <w:rStyle w:val="Appelnotedebasdep"/>
        </w:rPr>
        <w:footnoteRef/>
        <w:t xml:space="preserve"> </w:t>
      </w:r>
      <w:r>
        <w:rPr/>
        <w:t xml:space="preserve"> Jean, VIII, 3 et suiv. Ce passage ne faisait point d’abord partie de l’évangile de saint Jean ; il manque dans les manuscrits les plus anciens, et le texte en est assez flottant. Néanmoins, il est de tradition évangélique primitive, comme le prouvent les particularités singulières des versets 6, 8, qui ne sont pas dans le goût de Luc et des compilateurs de seconde main, lesquels ne mettent rien qui ne s’explique de soi-même. Cette histoire se trouvait, à ce qu’il semble, dans l’évangile selon les Hébreux (Papias, cité par Eusèbe, </w:t>
      </w:r>
      <w:r>
        <w:rPr>
          <w:i/>
        </w:rPr>
        <w:t xml:space="preserve">Hist. eccl.</w:t>
      </w:r>
      <w:r>
        <w:rPr/>
        <w:t xml:space="preserve">, III, 39).</w:t>
      </w:r>
    </w:p>
  </w:footnote>
  <w:footnote w:id="977">
    <w:p>
      <w:pPr>
        <w:pStyle w:val="Notedebasdepage"/>
      </w:pPr>
      <w:r>
        <w:rPr>
          <w:rStyle w:val="Appelnotedebasdep"/>
        </w:rPr>
        <w:footnoteRef/>
        <w:t xml:space="preserve"> </w:t>
      </w:r>
      <w:r>
        <w:rPr/>
        <w:t xml:space="preserve"> Jos., </w:t>
      </w:r>
      <w:r>
        <w:rPr>
          <w:i/>
        </w:rPr>
        <w:t xml:space="preserve">Ant., XIII</w:t>
      </w:r>
      <w:r>
        <w:rPr/>
        <w:t xml:space="preserve">, X, 6 ; XVIII, I, 4.</w:t>
      </w:r>
    </w:p>
  </w:footnote>
  <w:footnote w:id="978">
    <w:p>
      <w:pPr>
        <w:pStyle w:val="Notedebasdepage"/>
      </w:pPr>
      <w:r>
        <w:rPr>
          <w:rStyle w:val="Appelnotedebasdep"/>
        </w:rPr>
        <w:footnoteRef/>
        <w:t xml:space="preserve"> </w:t>
      </w:r>
      <w:r>
        <w:rPr/>
        <w:t xml:space="preserve"> Matth., XXII, 15 et suiv. ; Marc, XII, 13 et suiv. ; Luc, XX, 20 et suiv. Comp. Talm. de Jérus., </w:t>
      </w:r>
      <w:r>
        <w:rPr>
          <w:i/>
        </w:rPr>
        <w:t xml:space="preserve">Sanhédrin</w:t>
      </w:r>
      <w:r>
        <w:rPr/>
        <w:t xml:space="preserve">, II, 3.</w:t>
      </w:r>
    </w:p>
  </w:footnote>
  <w:footnote w:id="979">
    <w:p>
      <w:pPr>
        <w:pStyle w:val="Notedebasdepage"/>
      </w:pPr>
      <w:r>
        <w:rPr>
          <w:rStyle w:val="Appelnotedebasdep"/>
        </w:rPr>
        <w:footnoteRef/>
        <w:t xml:space="preserve"> </w:t>
      </w:r>
      <w:r>
        <w:rPr/>
        <w:t xml:space="preserve">Jean, X, 1-16.</w:t>
      </w:r>
    </w:p>
  </w:footnote>
  <w:footnote w:id="980">
    <w:p>
      <w:pPr>
        <w:pStyle w:val="Notedebasdepage"/>
      </w:pPr>
      <w:r>
        <w:rPr>
          <w:rStyle w:val="Appelnotedebasdep"/>
        </w:rPr>
        <w:footnoteRef/>
        <w:t xml:space="preserve"> </w:t>
      </w:r>
      <w:r>
        <w:rPr/>
        <w:t xml:space="preserve">Matth., XXIV, 32 ; Marc, XIII, 28 ; Luc, XXI, 30 ; Jean, IV, 35.</w:t>
      </w:r>
    </w:p>
  </w:footnote>
  <w:footnote w:id="981">
    <w:p>
      <w:pPr>
        <w:pStyle w:val="Notedebasdepage"/>
      </w:pPr>
      <w:r>
        <w:rPr>
          <w:rStyle w:val="Appelnotedebasdep"/>
        </w:rPr>
        <w:footnoteRef/>
        <w:t xml:space="preserve"> </w:t>
      </w:r>
      <w:r>
        <w:rPr>
          <w:i/>
        </w:rPr>
        <w:t xml:space="preserve">Totafôth</w:t>
      </w:r>
      <w:r>
        <w:rPr/>
        <w:t xml:space="preserve"> ou </w:t>
      </w:r>
      <w:r>
        <w:rPr>
          <w:i/>
        </w:rPr>
        <w:t xml:space="preserve">tefillîn</w:t>
      </w:r>
      <w:r>
        <w:rPr/>
        <w:t xml:space="preserve">, lames de métal ou bandes de parchemin, contenant des passages de la Loi, que les Juifs dévots portaient attachées au front et au bras gauche, en exécution littérale des passages </w:t>
      </w:r>
      <w:r>
        <w:rPr>
          <w:i/>
        </w:rPr>
        <w:t xml:space="preserve">Ex.</w:t>
      </w:r>
      <w:r>
        <w:rPr/>
        <w:t xml:space="preserve">, XIII, 9 ; </w:t>
      </w:r>
      <w:r>
        <w:rPr>
          <w:i/>
        </w:rPr>
        <w:t xml:space="preserve">Deutéronome</w:t>
      </w:r>
      <w:r>
        <w:rPr/>
        <w:t xml:space="preserve">, VI, 8 ; XI, 18.</w:t>
      </w:r>
    </w:p>
  </w:footnote>
  <w:footnote w:id="982">
    <w:p>
      <w:pPr>
        <w:pStyle w:val="Notedebasdepage"/>
      </w:pPr>
      <w:r>
        <w:rPr>
          <w:rStyle w:val="Appelnotedebasdep"/>
        </w:rPr>
        <w:footnoteRef/>
        <w:t xml:space="preserve"> </w:t>
      </w:r>
      <w:r>
        <w:rPr>
          <w:i/>
        </w:rPr>
        <w:t xml:space="preserve">Zizith</w:t>
      </w:r>
      <w:r>
        <w:rPr/>
        <w:t xml:space="preserve">, bordures ou franges rouges que les Juifs portaient au coin de leur manteau pour se distinguer des païens (</w:t>
      </w:r>
      <w:r>
        <w:rPr>
          <w:i/>
        </w:rPr>
        <w:t xml:space="preserve">Nombres</w:t>
      </w:r>
      <w:r>
        <w:rPr/>
        <w:t xml:space="preserve">, XV, 38-39 ; </w:t>
      </w:r>
      <w:r>
        <w:rPr>
          <w:i/>
        </w:rPr>
        <w:t xml:space="preserve">Deutér.</w:t>
      </w:r>
      <w:r>
        <w:rPr/>
        <w:t xml:space="preserve">, XXII, 12).</w:t>
      </w:r>
    </w:p>
  </w:footnote>
  <w:footnote w:id="983">
    <w:p>
      <w:pPr>
        <w:pStyle w:val="Notedebasdepage"/>
      </w:pPr>
      <w:r>
        <w:rPr>
          <w:rStyle w:val="Appelnotedebasdep"/>
        </w:rPr>
        <w:footnoteRef/>
        <w:t xml:space="preserve"> </w:t>
      </w:r>
      <w:r>
        <w:rPr/>
        <w:t xml:space="preserve">Les pharisiens excluent les hommes du royaume de Dieu par leur casuistique méticuleuse, qui en rend l’entrée trop difficile et qui décourage les simples.</w:t>
      </w:r>
    </w:p>
  </w:footnote>
  <w:footnote w:id="984">
    <w:p>
      <w:pPr>
        <w:pStyle w:val="Notedebasdepage"/>
      </w:pPr>
      <w:r>
        <w:rPr>
          <w:rStyle w:val="Appelnotedebasdep"/>
        </w:rPr>
        <w:footnoteRef/>
        <w:t xml:space="preserve"> </w:t>
      </w:r>
      <w:r>
        <w:rPr/>
        <w:t xml:space="preserve"> Le contact des tombeaux rendait impur. Aussi avait-on soin d’en marquer soigneusement la périphérie sur le sol. Talm. de Bab., _Baba Bathra_, 58 </w:t>
      </w:r>
      <w:r>
        <w:rPr>
          <w:i/>
        </w:rPr>
        <w:t xml:space="preserve">a ; Baba Metsia</w:t>
      </w:r>
      <w:r>
        <w:rPr/>
        <w:t xml:space="preserve">, 45 </w:t>
      </w:r>
      <w:r>
        <w:rPr>
          <w:i/>
        </w:rPr>
        <w:t xml:space="preserve">b</w:t>
      </w:r>
      <w:r>
        <w:rPr/>
        <w:t xml:space="preserve">. Le reproche que Jésus adresse ici aux pharisiens est d’avoir inventé une foule de petits préceptes qu’on viole sans y penser et qui ne servent qu’à multiplier les contraventions à la Loi.</w:t>
      </w:r>
    </w:p>
  </w:footnote>
  <w:footnote w:id="985">
    <w:p>
      <w:pPr>
        <w:pStyle w:val="Notedebasdepage"/>
      </w:pPr>
      <w:r>
        <w:rPr>
          <w:rStyle w:val="Appelnotedebasdep"/>
        </w:rPr>
        <w:footnoteRef/>
        <w:t xml:space="preserve"> </w:t>
      </w:r>
      <w:r>
        <w:rPr/>
        <w:t xml:space="preserve">La purification de la vaisselle était assujettie, chez les pharisiens, aux règles les plus compliquées (Marc, VII, 4).</w:t>
      </w:r>
    </w:p>
  </w:footnote>
  <w:footnote w:id="986">
    <w:p>
      <w:pPr>
        <w:pStyle w:val="Notedebasdepage"/>
      </w:pPr>
      <w:r>
        <w:rPr>
          <w:rStyle w:val="Appelnotedebasdep"/>
        </w:rPr>
        <w:footnoteRef/>
        <w:t xml:space="preserve"> </w:t>
      </w:r>
      <w:r>
        <w:rPr/>
        <w:t xml:space="preserve">Cette épithète, souvent répétée (Matth., XXIII, 16, 17, 19, 24, 26), renferme peut-être une allusion à l’habitude qu’avaient certains pharisiens de marcher les yeux fermés par affectation de sainteté. Voir ci-dessus, p. 328.</w:t>
      </w:r>
    </w:p>
  </w:footnote>
  <w:footnote w:id="987">
    <w:p>
      <w:pPr>
        <w:pStyle w:val="Notedebasdepage"/>
      </w:pPr>
      <w:r>
        <w:rPr>
          <w:rStyle w:val="Appelnotedebasdep"/>
        </w:rPr>
        <w:footnoteRef/>
        <w:t xml:space="preserve"> </w:t>
      </w:r>
      <w:r>
        <w:rPr/>
        <w:t xml:space="preserve">Luc (XI, 37 et suiv.) suppose, non peut-être sans raison, que ce verset fut prononcé dans un repas, en réponse à de vains scrupules des pharisiens.</w:t>
      </w:r>
    </w:p>
  </w:footnote>
  <w:footnote w:id="988">
    <w:p>
      <w:pPr>
        <w:pStyle w:val="Notedebasdepage"/>
      </w:pPr>
      <w:r>
        <w:rPr>
          <w:rStyle w:val="Appelnotedebasdep"/>
        </w:rPr>
        <w:footnoteRef/>
        <w:t xml:space="preserve"> </w:t>
      </w:r>
      <w:r>
        <w:rPr/>
        <w:t xml:space="preserve"> Les tombeaux étant impurs, on avait coutume de les blanchir à la chaux, pour avertir de ne pas s’en approcher. V. page précédente, note 1, et Mischna, </w:t>
      </w:r>
      <w:r>
        <w:rPr>
          <w:i/>
        </w:rPr>
        <w:t xml:space="preserve">Maasar scheni</w:t>
      </w:r>
      <w:r>
        <w:rPr/>
        <w:t xml:space="preserve">, V, 1 ; Talm. de Jérus., </w:t>
      </w:r>
      <w:r>
        <w:rPr>
          <w:i/>
        </w:rPr>
        <w:t xml:space="preserve">Schekalim</w:t>
      </w:r>
      <w:r>
        <w:rPr/>
        <w:t xml:space="preserve">, i, 1 ; </w:t>
      </w:r>
      <w:r>
        <w:rPr>
          <w:i/>
        </w:rPr>
        <w:t xml:space="preserve">Maasar scheni</w:t>
      </w:r>
      <w:r>
        <w:rPr/>
        <w:t xml:space="preserve">, V, 1 ; </w:t>
      </w:r>
      <w:r>
        <w:rPr>
          <w:i/>
        </w:rPr>
        <w:t xml:space="preserve">Moëd katon</w:t>
      </w:r>
      <w:r>
        <w:rPr/>
        <w:t xml:space="preserve">, i, 2 ; </w:t>
      </w:r>
      <w:r>
        <w:rPr>
          <w:i/>
        </w:rPr>
        <w:t xml:space="preserve">Sota</w:t>
      </w:r>
      <w:r>
        <w:rPr/>
        <w:t xml:space="preserve">, IX, 1 ; Talm. de Bab., </w:t>
      </w:r>
      <w:r>
        <w:rPr>
          <w:i/>
        </w:rPr>
        <w:t xml:space="preserve">Moëd katon</w:t>
      </w:r>
      <w:r>
        <w:rPr/>
        <w:t xml:space="preserve">, 5 </w:t>
      </w:r>
      <w:r>
        <w:rPr>
          <w:i/>
        </w:rPr>
        <w:t xml:space="preserve">a</w:t>
      </w:r>
      <w:r>
        <w:rPr/>
        <w:t xml:space="preserve">. Peut-être y a-t-il dans la comparaison dont se sert Jésus une allusion aux « pharisiens teints. » (V. ci-dessus, p. 328.)</w:t>
      </w:r>
    </w:p>
  </w:footnote>
  <w:footnote w:id="989">
    <w:p>
      <w:pPr>
        <w:pStyle w:val="Notedebasdepage"/>
      </w:pPr>
      <w:r>
        <w:rPr>
          <w:rStyle w:val="Appelnotedebasdep"/>
        </w:rPr>
        <w:footnoteRef/>
        <w:t xml:space="preserve"> </w:t>
      </w:r>
      <w:r>
        <w:rPr/>
        <w:t xml:space="preserve">On ignore à quel livre est empruntée cette citation.</w:t>
      </w:r>
    </w:p>
  </w:footnote>
  <w:footnote w:id="990">
    <w:p>
      <w:pPr>
        <w:pStyle w:val="Notedebasdepage"/>
      </w:pPr>
      <w:r>
        <w:rPr>
          <w:rStyle w:val="Appelnotedebasdep"/>
        </w:rPr>
        <w:footnoteRef/>
        <w:t xml:space="preserve"> </w:t>
      </w:r>
      <w:r>
        <w:rPr/>
        <w:t xml:space="preserve"> Il y a ici une légère confusion, qui se retrouve dans le targum dit de Jonathan (</w:t>
      </w:r>
      <w:r>
        <w:rPr>
          <w:i/>
        </w:rPr>
        <w:t xml:space="preserve">Lament.</w:t>
      </w:r>
      <w:r>
        <w:rPr/>
        <w:t xml:space="preserve">, II, 20), entre Zacharie, fils de Joïada, et Zacharie, fils de Barachie, le prophète. C’est du premier qu’il s’agit (</w:t>
      </w:r>
      <w:r>
        <w:rPr>
          <w:i/>
        </w:rPr>
        <w:t xml:space="preserve">II Paral.</w:t>
      </w:r>
      <w:r>
        <w:rPr/>
        <w:t xml:space="preserve">, XXIV, 21). Le livre des Paralipomènes, où l’assassinat de Zacharie, fils de Joïada, est raconté, ferme le canon hébreu. Ce meurtre est le dernier dans la liste des meurtres d’hommes justes, dressée selon l’ordre où ils se présentent dans la Bible. Celui d’Abel est au contraire le premier.</w:t>
      </w:r>
    </w:p>
  </w:footnote>
  <w:footnote w:id="991">
    <w:p>
      <w:pPr>
        <w:pStyle w:val="Notedebasdepage"/>
      </w:pPr>
      <w:r>
        <w:rPr>
          <w:rStyle w:val="Appelnotedebasdep"/>
        </w:rPr>
        <w:footnoteRef/>
        <w:t xml:space="preserve"> </w:t>
      </w:r>
      <w:r>
        <w:rPr/>
        <w:t xml:space="preserve">Matth., XXIII, 2-36 ; Marc, XII, 38-40 ; Luc, XI, 39-52 ; XX, 46-47.</w:t>
      </w:r>
    </w:p>
  </w:footnote>
  <w:footnote w:id="992">
    <w:p>
      <w:pPr>
        <w:pStyle w:val="Notedebasdepage"/>
      </w:pPr>
      <w:r>
        <w:rPr>
          <w:rStyle w:val="Appelnotedebasdep"/>
        </w:rPr>
        <w:footnoteRef/>
        <w:t xml:space="preserve"> </w:t>
      </w:r>
      <w:r>
        <w:rPr/>
        <w:t xml:space="preserve">Matth., VIII, 11-12 ; XX, 1 et suiv. ; XXI, 28 et suiv., 33 et suiv., 43 ; XXII, 1 et suiv. ; Marc, XII, 1 et suiv. ; Luc, XX, 9 et suiv.</w:t>
      </w:r>
    </w:p>
  </w:footnote>
  <w:footnote w:id="993">
    <w:p>
      <w:pPr>
        <w:pStyle w:val="Notedebasdepage"/>
      </w:pPr>
      <w:r>
        <w:rPr>
          <w:rStyle w:val="Appelnotedebasdep"/>
        </w:rPr>
        <w:footnoteRef/>
        <w:t xml:space="preserve"> </w:t>
      </w:r>
      <w:r>
        <w:rPr/>
        <w:t xml:space="preserve">Matth., XXI, 37 et suiv. ; Jean, X, 36 et suiv.</w:t>
      </w:r>
    </w:p>
  </w:footnote>
  <w:footnote w:id="994">
    <w:p>
      <w:pPr>
        <w:pStyle w:val="Notedebasdepage"/>
      </w:pPr>
      <w:r>
        <w:rPr>
          <w:rStyle w:val="Appelnotedebasdep"/>
        </w:rPr>
        <w:footnoteRef/>
        <w:t xml:space="preserve"> </w:t>
      </w:r>
      <w:r>
        <w:rPr/>
        <w:t xml:space="preserve">Jean, IX, 39.</w:t>
      </w:r>
    </w:p>
  </w:footnote>
  <w:footnote w:id="995">
    <w:p>
      <w:pPr>
        <w:pStyle w:val="Notedebasdepage"/>
      </w:pPr>
      <w:r>
        <w:rPr>
          <w:rStyle w:val="Appelnotedebasdep"/>
        </w:rPr>
        <w:footnoteRef/>
        <w:t xml:space="preserve"> </w:t>
      </w:r>
      <w:r>
        <w:rPr/>
        <w:t xml:space="preserve">La forme la plus authentique de ce mot paraît être dans Marc, XIV, 38 ; XV, 29. Cf. Jean, II, 19 ; Matth., XXVI, 61 ; XXVII, 40.</w:t>
      </w:r>
    </w:p>
  </w:footnote>
  <w:footnote w:id="996">
    <w:p>
      <w:pPr>
        <w:pStyle w:val="Notedebasdepage"/>
      </w:pPr>
      <w:r>
        <w:rPr>
          <w:rStyle w:val="Appelnotedebasdep"/>
        </w:rPr>
        <w:footnoteRef/>
        <w:t xml:space="preserve"> </w:t>
      </w:r>
      <w:r>
        <w:rPr/>
        <w:t xml:space="preserve">Jean, VIII, 39 ; X, 31 ; XI, 8.</w:t>
      </w:r>
    </w:p>
  </w:footnote>
  <w:footnote w:id="997">
    <w:p>
      <w:pPr>
        <w:pStyle w:val="Notedebasdepage"/>
      </w:pPr>
      <w:r>
        <w:rPr>
          <w:rStyle w:val="Appelnotedebasdep"/>
        </w:rPr>
        <w:footnoteRef/>
        <w:t xml:space="preserve"> </w:t>
      </w:r>
      <w:r>
        <w:rPr>
          <w:i/>
        </w:rPr>
        <w:t xml:space="preserve">Deutér</w:t>
      </w:r>
      <w:r>
        <w:rPr/>
        <w:t xml:space="preserve">., XIII, 1 et suiv. Comp. Luc, XX, 6 ; Jean, X, 33 ; II Cor., XI, 25.</w:t>
      </w:r>
    </w:p>
  </w:footnote>
  <w:footnote w:id="998">
    <w:p>
      <w:pPr>
        <w:pStyle w:val="Notedebasdepage"/>
      </w:pPr>
      <w:r>
        <w:rPr>
          <w:rStyle w:val="Appelnotedebasdep"/>
        </w:rPr>
        <w:footnoteRef/>
        <w:t xml:space="preserve"> </w:t>
      </w:r>
      <w:r>
        <w:rPr/>
        <w:t xml:space="preserve">Jean, X, 20.</w:t>
      </w:r>
    </w:p>
  </w:footnote>
  <w:footnote w:id="999">
    <w:p>
      <w:pPr>
        <w:pStyle w:val="Notedebasdepage"/>
      </w:pPr>
      <w:r>
        <w:rPr>
          <w:rStyle w:val="Appelnotedebasdep"/>
        </w:rPr>
        <w:footnoteRef/>
        <w:t xml:space="preserve"> </w:t>
      </w:r>
      <w:r>
        <w:rPr/>
        <w:t xml:space="preserve">Jean, V, 18 ; VII, 1, 20, 25, 30 ; VIII, 37, 40.</w:t>
      </w:r>
    </w:p>
  </w:footnote>
  <w:footnote w:id="1000">
    <w:p>
      <w:pPr>
        <w:pStyle w:val="Notedebasdepage"/>
      </w:pPr>
      <w:r>
        <w:rPr>
          <w:rStyle w:val="Appelnotedebasdep"/>
        </w:rPr>
        <w:footnoteRef/>
        <w:t xml:space="preserve"> </w:t>
      </w:r>
      <w:r>
        <w:rPr/>
        <w:t xml:space="preserve">Luc, XI, 53-54.</w:t>
      </w:r>
    </w:p>
  </w:footnote>
  <w:footnote w:id="1001">
    <w:p>
      <w:pPr>
        <w:pStyle w:val="Notedebasdepage"/>
      </w:pPr>
      <w:r>
        <w:rPr>
          <w:rStyle w:val="Appelnotedebasdep"/>
        </w:rPr>
        <w:footnoteRef/>
        <w:t xml:space="preserve"> </w:t>
      </w:r>
      <w:r>
        <w:rPr/>
        <w:t xml:space="preserve">Jean, X, 23.</w:t>
      </w:r>
    </w:p>
  </w:footnote>
  <w:footnote w:id="1002">
    <w:p>
      <w:pPr>
        <w:pStyle w:val="Notedebasdepage"/>
      </w:pPr>
      <w:r>
        <w:rPr>
          <w:rStyle w:val="Appelnotedebasdep"/>
        </w:rPr>
        <w:footnoteRef/>
        <w:t xml:space="preserve"> </w:t>
      </w:r>
      <w:r>
        <w:rPr/>
        <w:t xml:space="preserve"> Jos., </w:t>
      </w:r>
      <w:r>
        <w:rPr>
          <w:i/>
        </w:rPr>
        <w:t xml:space="preserve">B.J.</w:t>
      </w:r>
      <w:r>
        <w:rPr/>
        <w:t xml:space="preserve">, V, v, 2. Comp. </w:t>
      </w:r>
      <w:r>
        <w:rPr>
          <w:i/>
        </w:rPr>
        <w:t xml:space="preserve">Ant.</w:t>
      </w:r>
      <w:r>
        <w:rPr/>
        <w:t xml:space="preserve">, XV, </w:t>
      </w:r>
      <w:r>
        <w:rPr/>
        <w:t xml:space="preserve">xi</w:t>
      </w:r>
      <w:r>
        <w:rPr/>
        <w:t xml:space="preserve">, 5 ; XX, </w:t>
      </w:r>
      <w:r>
        <w:rPr/>
        <w:t xml:space="preserve">ix</w:t>
      </w:r>
      <w:r>
        <w:rPr/>
        <w:t xml:space="preserve">, 7.</w:t>
      </w:r>
    </w:p>
  </w:footnote>
  <w:footnote w:id="1003">
    <w:p>
      <w:pPr>
        <w:pStyle w:val="Notedebasdepage"/>
      </w:pPr>
      <w:r>
        <w:rPr>
          <w:rStyle w:val="Appelnotedebasdep"/>
        </w:rPr>
        <w:footnoteRef/>
        <w:t xml:space="preserve"> </w:t>
      </w:r>
      <w:r>
        <w:rPr/>
        <w:t xml:space="preserve">Jos., endroits cités.</w:t>
      </w:r>
    </w:p>
  </w:footnote>
  <w:footnote w:id="1004">
    <w:p>
      <w:pPr>
        <w:pStyle w:val="Notedebasdepage"/>
      </w:pPr>
      <w:r>
        <w:rPr>
          <w:rStyle w:val="Appelnotedebasdep"/>
        </w:rPr>
        <w:footnoteRef/>
        <w:t xml:space="preserve"> </w:t>
      </w:r>
      <w:r>
        <w:rPr/>
        <w:t xml:space="preserve"> Voir ci-dessus, p. 352. Je suis porté à supposer que les tombeaux dits de Zacharie et d’Absalom étaient des monuments de ce genre. Cf. </w:t>
      </w:r>
      <w:r>
        <w:rPr>
          <w:i/>
        </w:rPr>
        <w:t xml:space="preserve">Itin. a Bardig. Hierus.</w:t>
      </w:r>
      <w:r>
        <w:rPr/>
        <w:t xml:space="preserve">, p. 153 (édit. Schott).</w:t>
      </w:r>
    </w:p>
  </w:footnote>
  <w:footnote w:id="1005">
    <w:p>
      <w:pPr>
        <w:pStyle w:val="Notedebasdepage"/>
      </w:pPr>
      <w:r>
        <w:rPr>
          <w:rStyle w:val="Appelnotedebasdep"/>
        </w:rPr>
        <w:footnoteRef/>
        <w:t xml:space="preserve"> </w:t>
      </w:r>
      <w:r>
        <w:rPr/>
        <w:t xml:space="preserve">Matth., XXIII, 29 ; Luc, XI, 47.</w:t>
      </w:r>
    </w:p>
  </w:footnote>
  <w:footnote w:id="1006">
    <w:p>
      <w:pPr>
        <w:pStyle w:val="Notedebasdepage"/>
      </w:pPr>
      <w:r>
        <w:rPr>
          <w:rStyle w:val="Appelnotedebasdep"/>
        </w:rPr>
        <w:footnoteRef/>
        <w:t xml:space="preserve"> </w:t>
      </w:r>
      <w:r>
        <w:rPr/>
        <w:t xml:space="preserve">Jean, X, 22. Comp. I Macch., IV, 52 et suiv. ; II Macch., X, 6 et suiv.</w:t>
      </w:r>
    </w:p>
  </w:footnote>
  <w:footnote w:id="1007">
    <w:p>
      <w:pPr>
        <w:pStyle w:val="Notedebasdepage"/>
      </w:pPr>
      <w:r>
        <w:rPr>
          <w:rStyle w:val="Appelnotedebasdep"/>
        </w:rPr>
        <w:footnoteRef/>
        <w:t xml:space="preserve"> </w:t>
      </w:r>
      <w:r>
        <w:rPr/>
        <w:t xml:space="preserve"> Jos., </w:t>
      </w:r>
      <w:r>
        <w:rPr>
          <w:i/>
        </w:rPr>
        <w:t xml:space="preserve">Ant.</w:t>
      </w:r>
      <w:r>
        <w:rPr/>
        <w:t xml:space="preserve">, XII, VII, 7.</w:t>
      </w:r>
    </w:p>
  </w:footnote>
  <w:footnote w:id="1008">
    <w:p>
      <w:pPr>
        <w:pStyle w:val="Notedebasdepage"/>
      </w:pPr>
      <w:r>
        <w:rPr>
          <w:rStyle w:val="Appelnotedebasdep"/>
        </w:rPr>
        <w:footnoteRef/>
        <w:t xml:space="preserve"> </w:t>
      </w:r>
      <w:r>
        <w:rPr/>
        <w:t xml:space="preserve"> Jean, X, 40. Cf. Matth., XIX, 1 ; Marc, X, 1. Ce voyage est connu des synoptiques. Mais ils semblent croire que Jésus le fit en venant de Galilée à Jérusalem par la Pérée.</w:t>
      </w:r>
    </w:p>
  </w:footnote>
  <w:footnote w:id="1009">
    <w:p>
      <w:pPr>
        <w:pStyle w:val="Notedebasdepage"/>
      </w:pPr>
      <w:r>
        <w:rPr>
          <w:rStyle w:val="Appelnotedebasdep"/>
        </w:rPr>
        <w:footnoteRef/>
        <w:t xml:space="preserve"> </w:t>
      </w:r>
      <w:r>
        <w:rPr>
          <w:i/>
        </w:rPr>
        <w:t xml:space="preserve">Eccli.</w:t>
      </w:r>
      <w:r>
        <w:rPr/>
        <w:t xml:space="preserve">, XXIV, 18 ; Strabon, XVI, </w:t>
      </w:r>
      <w:r>
        <w:rPr/>
        <w:t xml:space="preserve">ii</w:t>
      </w:r>
      <w:r>
        <w:rPr/>
        <w:t xml:space="preserve">, 41 ; Justin, XXXVI, 3 ; Jos., </w:t>
      </w:r>
      <w:r>
        <w:rPr>
          <w:i/>
        </w:rPr>
        <w:t xml:space="preserve">Ant.</w:t>
      </w:r>
      <w:r>
        <w:rPr/>
        <w:t xml:space="preserve">, IV, </w:t>
      </w:r>
      <w:r>
        <w:rPr/>
        <w:t xml:space="preserve">vi</w:t>
      </w:r>
      <w:r>
        <w:rPr/>
        <w:t xml:space="preserve">, 1 ; XIV, </w:t>
      </w:r>
      <w:r>
        <w:rPr/>
        <w:t xml:space="preserve">iv</w:t>
      </w:r>
      <w:r>
        <w:rPr/>
        <w:t xml:space="preserve">, 1 ; XV, </w:t>
      </w:r>
      <w:r>
        <w:rPr/>
        <w:t xml:space="preserve">iv</w:t>
      </w:r>
      <w:r>
        <w:rPr/>
        <w:t xml:space="preserve">, 2.</w:t>
      </w:r>
    </w:p>
  </w:footnote>
  <w:footnote w:id="1010">
    <w:p>
      <w:pPr>
        <w:pStyle w:val="Notedebasdepage"/>
      </w:pPr>
      <w:r>
        <w:rPr>
          <w:rStyle w:val="Appelnotedebasdep"/>
        </w:rPr>
        <w:footnoteRef/>
        <w:t xml:space="preserve"> </w:t>
      </w:r>
      <w:r>
        <w:rPr/>
        <w:t xml:space="preserve">Luc, XIX, 1 et suiv.</w:t>
      </w:r>
    </w:p>
  </w:footnote>
  <w:footnote w:id="1011">
    <w:p>
      <w:pPr>
        <w:pStyle w:val="Notedebasdepage"/>
      </w:pPr>
      <w:r>
        <w:rPr>
          <w:rStyle w:val="Appelnotedebasdep"/>
        </w:rPr>
        <w:footnoteRef/>
        <w:t xml:space="preserve"> </w:t>
      </w:r>
      <w:r>
        <w:rPr/>
        <w:t xml:space="preserve">Matth., XX, 29 ; Marc, X, 46 et suiv. ; Luc, XVIII, 35.</w:t>
      </w:r>
    </w:p>
  </w:footnote>
  <w:footnote w:id="1012">
    <w:p>
      <w:pPr>
        <w:pStyle w:val="Notedebasdepage"/>
      </w:pPr>
      <w:r>
        <w:rPr>
          <w:rStyle w:val="Appelnotedebasdep"/>
        </w:rPr>
        <w:footnoteRef/>
        <w:t xml:space="preserve"> </w:t>
      </w:r>
      <w:r>
        <w:rPr>
          <w:i/>
        </w:rPr>
        <w:t xml:space="preserve">B.J.</w:t>
      </w:r>
      <w:r>
        <w:rPr/>
        <w:t xml:space="preserve">, IV, </w:t>
      </w:r>
      <w:r>
        <w:rPr/>
        <w:t xml:space="preserve">viii</w:t>
      </w:r>
      <w:r>
        <w:rPr/>
        <w:t xml:space="preserve">, 3. Comp. </w:t>
      </w:r>
      <w:r>
        <w:rPr>
          <w:i/>
        </w:rPr>
        <w:t xml:space="preserve">ibid.</w:t>
      </w:r>
      <w:r>
        <w:rPr/>
        <w:t xml:space="preserve">, I, </w:t>
      </w:r>
      <w:r>
        <w:rPr/>
        <w:t xml:space="preserve">vi</w:t>
      </w:r>
      <w:r>
        <w:rPr/>
        <w:t xml:space="preserve">, 6 ; I, XVIII, 5, et </w:t>
      </w:r>
      <w:r>
        <w:rPr>
          <w:i/>
        </w:rPr>
        <w:t xml:space="preserve">Antiq.</w:t>
      </w:r>
      <w:r>
        <w:rPr/>
        <w:t xml:space="preserve">, XV, </w:t>
      </w:r>
      <w:r>
        <w:rPr/>
        <w:t xml:space="preserve">iv</w:t>
      </w:r>
      <w:r>
        <w:rPr/>
        <w:t xml:space="preserve">, 2.</w:t>
      </w:r>
    </w:p>
  </w:footnote>
  <w:footnote w:id="1013">
    <w:p>
      <w:pPr>
        <w:pStyle w:val="Notedebasdepage"/>
      </w:pPr>
      <w:r>
        <w:rPr>
          <w:rStyle w:val="Appelnotedebasdep"/>
        </w:rPr>
        <w:footnoteRef/>
        <w:t xml:space="preserve"> </w:t>
      </w:r>
      <w:r>
        <w:rPr/>
        <w:t xml:space="preserve">Jean, XI, 1 et suiv.</w:t>
      </w:r>
    </w:p>
  </w:footnote>
  <w:footnote w:id="1014">
    <w:p>
      <w:pPr>
        <w:pStyle w:val="Notedebasdepage"/>
      </w:pPr>
      <w:r>
        <w:rPr>
          <w:rStyle w:val="Appelnotedebasdep"/>
        </w:rPr>
        <w:footnoteRef/>
        <w:t xml:space="preserve"> </w:t>
      </w:r>
      <w:r>
        <w:rPr/>
        <w:t xml:space="preserve">Matth., IX, 18 et suiv. ; Marc, V, 22 et suiv. ; Luc, VII, 11 et suiv. ; VIII, 41 et suiv.</w:t>
      </w:r>
    </w:p>
  </w:footnote>
  <w:footnote w:id="1015">
    <w:p>
      <w:pPr>
        <w:pStyle w:val="Notedebasdepage"/>
      </w:pPr>
      <w:r>
        <w:rPr>
          <w:rStyle w:val="Appelnotedebasdep"/>
        </w:rPr>
        <w:footnoteRef/>
        <w:t xml:space="preserve"> </w:t>
      </w:r>
      <w:r>
        <w:rPr/>
        <w:t xml:space="preserve">Jean, XI, 3 et suiv.</w:t>
      </w:r>
    </w:p>
  </w:footnote>
  <w:footnote w:id="1016">
    <w:p>
      <w:pPr>
        <w:pStyle w:val="Notedebasdepage"/>
      </w:pPr>
      <w:r>
        <w:rPr>
          <w:rStyle w:val="Appelnotedebasdep"/>
        </w:rPr>
        <w:footnoteRef/>
        <w:t xml:space="preserve"> </w:t>
      </w:r>
      <w:r>
        <w:rPr/>
        <w:t xml:space="preserve">Jean, XI, 35 et suiv.</w:t>
      </w:r>
    </w:p>
  </w:footnote>
  <w:footnote w:id="1017">
    <w:p>
      <w:pPr>
        <w:pStyle w:val="Notedebasdepage"/>
      </w:pPr>
      <w:r>
        <w:rPr>
          <w:rStyle w:val="Appelnotedebasdep"/>
        </w:rPr>
        <w:footnoteRef/>
        <w:t xml:space="preserve"> </w:t>
      </w:r>
      <w:r>
        <w:rPr/>
        <w:t xml:space="preserve">Jean, XI, 33, 38.</w:t>
      </w:r>
    </w:p>
  </w:footnote>
  <w:footnote w:id="1018">
    <w:p>
      <w:pPr>
        <w:pStyle w:val="Notedebasdepage"/>
      </w:pPr>
      <w:r>
        <w:rPr>
          <w:rStyle w:val="Appelnotedebasdep"/>
        </w:rPr>
        <w:footnoteRef/>
        <w:t xml:space="preserve"> </w:t>
      </w:r>
      <w:r>
        <w:rPr/>
        <w:t xml:space="preserve">Jean, XI, 46 et suiv. ; XII, 2, 9 et suiv., 17 et suiv.</w:t>
      </w:r>
    </w:p>
  </w:footnote>
  <w:footnote w:id="1019">
    <w:p>
      <w:pPr>
        <w:pStyle w:val="Notedebasdepage"/>
      </w:pPr>
      <w:r>
        <w:rPr>
          <w:rStyle w:val="Appelnotedebasdep"/>
        </w:rPr>
        <w:footnoteRef/>
        <w:t xml:space="preserve"> </w:t>
      </w:r>
      <w:r>
        <w:rPr/>
        <w:t xml:space="preserve">Jean, XII, 9-10,17-18.</w:t>
      </w:r>
    </w:p>
  </w:footnote>
  <w:footnote w:id="1020">
    <w:p>
      <w:pPr>
        <w:pStyle w:val="Notedebasdepage"/>
      </w:pPr>
      <w:r>
        <w:rPr>
          <w:rStyle w:val="Appelnotedebasdep"/>
        </w:rPr>
        <w:footnoteRef/>
        <w:t xml:space="preserve"> </w:t>
      </w:r>
      <w:r>
        <w:rPr/>
        <w:t xml:space="preserve">Jean, XII, 10.</w:t>
      </w:r>
    </w:p>
  </w:footnote>
  <w:footnote w:id="1021">
    <w:p>
      <w:pPr>
        <w:pStyle w:val="Notedebasdepage"/>
      </w:pPr>
      <w:r>
        <w:rPr>
          <w:rStyle w:val="Appelnotedebasdep"/>
        </w:rPr>
        <w:footnoteRef/>
        <w:t xml:space="preserve"> </w:t>
      </w:r>
      <w:r>
        <w:rPr/>
        <w:t xml:space="preserve">Jean, XI, 47 et suiv.</w:t>
      </w:r>
    </w:p>
  </w:footnote>
  <w:footnote w:id="1022">
    <w:p>
      <w:pPr>
        <w:pStyle w:val="Notedebasdepage"/>
      </w:pPr>
      <w:r>
        <w:rPr>
          <w:rStyle w:val="Appelnotedebasdep"/>
        </w:rPr>
        <w:footnoteRef/>
        <w:t xml:space="preserve"> </w:t>
      </w:r>
      <w:r>
        <w:rPr/>
        <w:t xml:space="preserve"> Jos., </w:t>
      </w:r>
      <w:r>
        <w:rPr>
          <w:i/>
        </w:rPr>
        <w:t xml:space="preserve">Ant.</w:t>
      </w:r>
      <w:r>
        <w:rPr/>
        <w:t xml:space="preserve">, XV, </w:t>
      </w:r>
      <w:r>
        <w:rPr/>
        <w:t xml:space="preserve">iii</w:t>
      </w:r>
      <w:r>
        <w:rPr/>
        <w:t xml:space="preserve">, 1 ; XVIII, </w:t>
      </w:r>
      <w:r>
        <w:rPr/>
        <w:t xml:space="preserve">ii</w:t>
      </w:r>
      <w:r>
        <w:rPr/>
        <w:t xml:space="preserve">, 2 ; V, 3 ; XX, </w:t>
      </w:r>
      <w:r>
        <w:rPr/>
        <w:t xml:space="preserve">ix</w:t>
      </w:r>
      <w:r>
        <w:rPr/>
        <w:t xml:space="preserve">, 1, 4.</w:t>
      </w:r>
    </w:p>
  </w:footnote>
  <w:footnote w:id="1023">
    <w:p>
      <w:pPr>
        <w:pStyle w:val="Notedebasdepage"/>
      </w:pPr>
      <w:r>
        <w:rPr>
          <w:rStyle w:val="Appelnotedebasdep"/>
        </w:rPr>
        <w:footnoteRef/>
        <w:t xml:space="preserve"> </w:t>
      </w:r>
      <w:r>
        <w:rPr/>
        <w:t xml:space="preserve"> L’</w:t>
      </w:r>
      <w:r>
        <w:rPr>
          <w:i/>
        </w:rPr>
        <w:t xml:space="preserve">Ananus</w:t>
      </w:r>
      <w:r>
        <w:rPr/>
        <w:t xml:space="preserve"> de Josèphe. C’est ainsi que le nom hébreu </w:t>
      </w:r>
      <w:r>
        <w:rPr>
          <w:i/>
        </w:rPr>
        <w:t xml:space="preserve">Johanan</w:t>
      </w:r>
      <w:r>
        <w:rPr/>
        <w:t xml:space="preserve"> devenait en grec </w:t>
      </w:r>
      <w:r>
        <w:rPr>
          <w:i/>
        </w:rPr>
        <w:t xml:space="preserve">Joannes</w:t>
      </w:r>
      <w:r>
        <w:rPr/>
        <w:t xml:space="preserve"> ou </w:t>
      </w:r>
      <w:r>
        <w:rPr>
          <w:i/>
        </w:rPr>
        <w:t xml:space="preserve">Joannas</w:t>
      </w:r>
      <w:r>
        <w:rPr/>
        <w:t xml:space="preserve">.</w:t>
      </w:r>
    </w:p>
  </w:footnote>
  <w:footnote w:id="1024">
    <w:p>
      <w:pPr>
        <w:pStyle w:val="Notedebasdepage"/>
      </w:pPr>
      <w:r>
        <w:rPr>
          <w:rStyle w:val="Appelnotedebasdep"/>
        </w:rPr>
        <w:footnoteRef/>
        <w:t xml:space="preserve"> </w:t>
      </w:r>
      <w:r>
        <w:rPr/>
        <w:t xml:space="preserve"> Jean, XVIII, 15-23 ; </w:t>
      </w:r>
      <w:r>
        <w:rPr>
          <w:i/>
        </w:rPr>
        <w:t xml:space="preserve">Act</w:t>
      </w:r>
      <w:r>
        <w:rPr/>
        <w:t xml:space="preserve">., IV, 6.</w:t>
      </w:r>
    </w:p>
  </w:footnote>
  <w:footnote w:id="1025">
    <w:p>
      <w:pPr>
        <w:pStyle w:val="Notedebasdepage"/>
      </w:pPr>
      <w:r>
        <w:rPr>
          <w:rStyle w:val="Appelnotedebasdep"/>
        </w:rPr>
        <w:footnoteRef/>
        <w:t xml:space="preserve"> </w:t>
      </w:r>
      <w:r>
        <w:rPr/>
        <w:t xml:space="preserve"> Jos., </w:t>
      </w:r>
      <w:r>
        <w:rPr>
          <w:i/>
        </w:rPr>
        <w:t xml:space="preserve">Ant.</w:t>
      </w:r>
      <w:r>
        <w:rPr/>
        <w:t xml:space="preserve">, XX, IX, 1.</w:t>
      </w:r>
    </w:p>
  </w:footnote>
  <w:footnote w:id="1026">
    <w:p>
      <w:pPr>
        <w:pStyle w:val="Notedebasdepage"/>
      </w:pPr>
      <w:r>
        <w:rPr>
          <w:rStyle w:val="Appelnotedebasdep"/>
        </w:rPr>
        <w:footnoteRef/>
        <w:t xml:space="preserve"> </w:t>
      </w:r>
      <w:r>
        <w:rPr/>
        <w:t xml:space="preserve"> Jos., </w:t>
      </w:r>
      <w:r>
        <w:rPr>
          <w:i/>
        </w:rPr>
        <w:t xml:space="preserve">Ant.</w:t>
      </w:r>
      <w:r>
        <w:rPr/>
        <w:t xml:space="preserve">, XV, III, 1 ; </w:t>
      </w:r>
      <w:r>
        <w:rPr>
          <w:i/>
        </w:rPr>
        <w:t xml:space="preserve">B.J.</w:t>
      </w:r>
      <w:r>
        <w:rPr/>
        <w:t xml:space="preserve">, IV, V, 6 et 7 ; Act., IV, 6.</w:t>
      </w:r>
    </w:p>
  </w:footnote>
  <w:footnote w:id="1027">
    <w:p>
      <w:pPr>
        <w:pStyle w:val="Notedebasdepage"/>
      </w:pPr>
      <w:r>
        <w:rPr>
          <w:rStyle w:val="Appelnotedebasdep"/>
        </w:rPr>
        <w:footnoteRef/>
        <w:t xml:space="preserve"> </w:t>
      </w:r>
      <w:r>
        <w:rPr/>
        <w:t xml:space="preserve"> Jos., </w:t>
      </w:r>
      <w:r>
        <w:rPr>
          <w:i/>
        </w:rPr>
        <w:t xml:space="preserve">Ant.</w:t>
      </w:r>
      <w:r>
        <w:rPr/>
        <w:t xml:space="preserve">, XX, IX, 3.</w:t>
      </w:r>
    </w:p>
  </w:footnote>
  <w:footnote w:id="1028">
    <w:p>
      <w:pPr>
        <w:pStyle w:val="Notedebasdepage"/>
      </w:pPr>
      <w:r>
        <w:rPr>
          <w:rStyle w:val="Appelnotedebasdep"/>
        </w:rPr>
        <w:footnoteRef/>
        <w:t xml:space="preserve"> </w:t>
      </w:r>
      <w:r>
        <w:rPr/>
        <w:t xml:space="preserve"> Jos., </w:t>
      </w:r>
      <w:r>
        <w:rPr>
          <w:i/>
        </w:rPr>
        <w:t xml:space="preserve">Ant.</w:t>
      </w:r>
      <w:r>
        <w:rPr/>
        <w:t xml:space="preserve">, XV, IX, 3 ; XIX, VI, 2 ; VIII, 1.</w:t>
      </w:r>
    </w:p>
  </w:footnote>
  <w:footnote w:id="1029">
    <w:p>
      <w:pPr>
        <w:pStyle w:val="Notedebasdepage"/>
      </w:pPr>
      <w:r>
        <w:rPr>
          <w:rStyle w:val="Appelnotedebasdep"/>
        </w:rPr>
        <w:footnoteRef/>
        <w:t xml:space="preserve"> </w:t>
      </w:r>
      <w:r>
        <w:rPr/>
        <w:t xml:space="preserve">Luc, III, 2.</w:t>
      </w:r>
    </w:p>
  </w:footnote>
  <w:footnote w:id="1030">
    <w:p>
      <w:pPr>
        <w:pStyle w:val="Notedebasdepage"/>
      </w:pPr>
      <w:r>
        <w:rPr>
          <w:rStyle w:val="Appelnotedebasdep"/>
        </w:rPr>
        <w:footnoteRef/>
        <w:t xml:space="preserve"> </w:t>
      </w:r>
      <w:r>
        <w:rPr>
          <w:i/>
        </w:rPr>
        <w:t xml:space="preserve">Act.</w:t>
      </w:r>
      <w:r>
        <w:rPr/>
        <w:t xml:space="preserve">, V, 17.</w:t>
      </w:r>
    </w:p>
  </w:footnote>
  <w:footnote w:id="1031">
    <w:p>
      <w:pPr>
        <w:pStyle w:val="Notedebasdepage"/>
      </w:pPr>
      <w:r>
        <w:rPr>
          <w:rStyle w:val="Appelnotedebasdep"/>
        </w:rPr>
        <w:footnoteRef/>
        <w:t xml:space="preserve"> </w:t>
      </w:r>
      <w:r>
        <w:rPr/>
        <w:t xml:space="preserve"> Jos., </w:t>
      </w:r>
      <w:r>
        <w:rPr>
          <w:i/>
        </w:rPr>
        <w:t xml:space="preserve">Ant.</w:t>
      </w:r>
      <w:r>
        <w:rPr/>
        <w:t xml:space="preserve">, XX, IX, 1.</w:t>
      </w:r>
    </w:p>
  </w:footnote>
  <w:footnote w:id="1032">
    <w:p>
      <w:pPr>
        <w:pStyle w:val="Notedebasdepage"/>
      </w:pPr>
      <w:r>
        <w:rPr>
          <w:rStyle w:val="Appelnotedebasdep"/>
        </w:rPr>
        <w:footnoteRef/>
        <w:t xml:space="preserve"> </w:t>
      </w:r>
      <w:r>
        <w:rPr/>
        <w:t xml:space="preserve"> Jos., </w:t>
      </w:r>
      <w:r>
        <w:rPr>
          <w:i/>
        </w:rPr>
        <w:t xml:space="preserve">Ant.</w:t>
      </w:r>
      <w:r>
        <w:rPr/>
        <w:t xml:space="preserve">, XX, IX, 1.</w:t>
      </w:r>
    </w:p>
  </w:footnote>
  <w:footnote w:id="1033">
    <w:p>
      <w:pPr>
        <w:pStyle w:val="Notedebasdepage"/>
      </w:pPr>
      <w:r>
        <w:rPr>
          <w:rStyle w:val="Appelnotedebasdep"/>
        </w:rPr>
        <w:footnoteRef/>
        <w:t xml:space="preserve"> </w:t>
      </w:r>
      <w:r>
        <w:rPr/>
        <w:t xml:space="preserve"> Jean, XI, 49-30. Cf. </w:t>
      </w:r>
      <w:r>
        <w:rPr>
          <w:i/>
        </w:rPr>
        <w:t xml:space="preserve">ibid.</w:t>
      </w:r>
      <w:r>
        <w:rPr/>
        <w:t xml:space="preserve">, XVIII, 14.</w:t>
      </w:r>
    </w:p>
  </w:footnote>
  <w:footnote w:id="1034">
    <w:p>
      <w:pPr>
        <w:pStyle w:val="Notedebasdepage"/>
      </w:pPr>
      <w:r>
        <w:rPr>
          <w:rStyle w:val="Appelnotedebasdep"/>
        </w:rPr>
        <w:footnoteRef/>
        <w:t xml:space="preserve"> </w:t>
      </w:r>
      <w:r>
        <w:rPr/>
        <w:t xml:space="preserve">Jean, XI, 48.</w:t>
      </w:r>
    </w:p>
  </w:footnote>
  <w:footnote w:id="1035">
    <w:p>
      <w:pPr>
        <w:pStyle w:val="Notedebasdepage"/>
      </w:pPr>
      <w:r>
        <w:rPr>
          <w:rStyle w:val="Appelnotedebasdep"/>
        </w:rPr>
        <w:footnoteRef/>
        <w:t xml:space="preserve"> </w:t>
      </w:r>
      <w:r>
        <w:rPr/>
        <w:t xml:space="preserve">Jean, XI, 53.</w:t>
      </w:r>
    </w:p>
  </w:footnote>
  <w:footnote w:id="1036">
    <w:p>
      <w:pPr>
        <w:pStyle w:val="Notedebasdepage"/>
      </w:pPr>
      <w:r>
        <w:rPr>
          <w:rStyle w:val="Appelnotedebasdep"/>
        </w:rPr>
        <w:footnoteRef/>
        <w:t xml:space="preserve"> </w:t>
      </w:r>
      <w:r>
        <w:rPr/>
        <w:t xml:space="preserve"> Jean, XI, 54. Cf. </w:t>
      </w:r>
      <w:r>
        <w:rPr>
          <w:i/>
        </w:rPr>
        <w:t xml:space="preserve">II Chron</w:t>
      </w:r>
      <w:r>
        <w:rPr/>
        <w:t xml:space="preserve">., XIII, 19 ; Jos., </w:t>
      </w:r>
      <w:r>
        <w:rPr>
          <w:i/>
        </w:rPr>
        <w:t xml:space="preserve">B. J</w:t>
      </w:r>
      <w:r>
        <w:rPr/>
        <w:t xml:space="preserve">., IV, IX, 9 ; Eusèbe et S. Jérôme, </w:t>
      </w:r>
      <w:r>
        <w:rPr>
          <w:i/>
        </w:rPr>
        <w:t xml:space="preserve">De situ et nom. loc. hebr</w:t>
      </w:r>
      <w:r>
        <w:rPr/>
        <w:t xml:space="preserve">., aux mots [Greek : Ephrôn] et [Greek : Ephraim].</w:t>
      </w:r>
    </w:p>
  </w:footnote>
  <w:footnote w:id="1037">
    <w:p>
      <w:pPr>
        <w:pStyle w:val="Notedebasdepage"/>
      </w:pPr>
      <w:r>
        <w:rPr>
          <w:rStyle w:val="Appelnotedebasdep"/>
        </w:rPr>
        <w:footnoteRef/>
        <w:t xml:space="preserve"> </w:t>
      </w:r>
      <w:r>
        <w:rPr/>
        <w:t xml:space="preserve">Jean, XI, 55-56. Pour l’ordre des faits, dans toute cette partie, nous suivons le système de Jean. Les synoptiques paraissent peu renseignés sur la période de la vie de Jésus qui précède la Passion.</w:t>
      </w:r>
    </w:p>
  </w:footnote>
  <w:footnote w:id="1038">
    <w:p>
      <w:pPr>
        <w:pStyle w:val="Notedebasdepage"/>
      </w:pPr>
      <w:r>
        <w:rPr>
          <w:rStyle w:val="Appelnotedebasdep"/>
        </w:rPr>
        <w:footnoteRef/>
        <w:t xml:space="preserve"> </w:t>
      </w:r>
      <w:r>
        <w:rPr/>
        <w:t xml:space="preserve">Luc, XIX, 11.</w:t>
      </w:r>
    </w:p>
  </w:footnote>
  <w:footnote w:id="1039">
    <w:p>
      <w:pPr>
        <w:pStyle w:val="Notedebasdepage"/>
      </w:pPr>
      <w:r>
        <w:rPr>
          <w:rStyle w:val="Appelnotedebasdep"/>
        </w:rPr>
        <w:footnoteRef/>
        <w:t xml:space="preserve"> </w:t>
      </w:r>
      <w:r>
        <w:rPr/>
        <w:t xml:space="preserve">Luc, XXII, 24 et suiv.</w:t>
      </w:r>
    </w:p>
  </w:footnote>
  <w:footnote w:id="1040">
    <w:p>
      <w:pPr>
        <w:pStyle w:val="Notedebasdepage"/>
      </w:pPr>
      <w:r>
        <w:rPr>
          <w:rStyle w:val="Appelnotedebasdep"/>
        </w:rPr>
        <w:footnoteRef/>
        <w:t xml:space="preserve"> </w:t>
      </w:r>
      <w:r>
        <w:rPr/>
        <w:t xml:space="preserve">Matth., XX, 20 et suiv. ; Marc, X, 35 et suiv.</w:t>
      </w:r>
    </w:p>
  </w:footnote>
  <w:footnote w:id="1041">
    <w:p>
      <w:pPr>
        <w:pStyle w:val="Notedebasdepage"/>
      </w:pPr>
      <w:r>
        <w:rPr>
          <w:rStyle w:val="Appelnotedebasdep"/>
        </w:rPr>
        <w:footnoteRef/>
        <w:t xml:space="preserve"> </w:t>
      </w:r>
      <w:r>
        <w:rPr/>
        <w:t xml:space="preserve">Luc, XIX, 12-27.</w:t>
      </w:r>
    </w:p>
  </w:footnote>
  <w:footnote w:id="1042">
    <w:p>
      <w:pPr>
        <w:pStyle w:val="Notedebasdepage"/>
      </w:pPr>
      <w:r>
        <w:rPr>
          <w:rStyle w:val="Appelnotedebasdep"/>
        </w:rPr>
        <w:footnoteRef/>
        <w:t xml:space="preserve"> </w:t>
      </w:r>
      <w:r>
        <w:rPr/>
        <w:t xml:space="preserve">Matth., XVI, 21 et suiv. ; Marc, VIII, 31 et suiv.</w:t>
      </w:r>
    </w:p>
  </w:footnote>
  <w:footnote w:id="1043">
    <w:p>
      <w:pPr>
        <w:pStyle w:val="Notedebasdepage"/>
      </w:pPr>
      <w:r>
        <w:rPr>
          <w:rStyle w:val="Appelnotedebasdep"/>
        </w:rPr>
        <w:footnoteRef/>
        <w:t xml:space="preserve"> </w:t>
      </w:r>
      <w:r>
        <w:rPr/>
        <w:t xml:space="preserve">Matth., XX, 17 et suiv. ; Marc, X, 31 et suiv. ; Luc, XVIII, 31 et suiv.</w:t>
      </w:r>
    </w:p>
  </w:footnote>
  <w:footnote w:id="1044">
    <w:p>
      <w:pPr>
        <w:pStyle w:val="Notedebasdepage"/>
      </w:pPr>
      <w:r>
        <w:rPr>
          <w:rStyle w:val="Appelnotedebasdep"/>
        </w:rPr>
        <w:footnoteRef/>
        <w:t xml:space="preserve"> </w:t>
      </w:r>
      <w:r>
        <w:rPr/>
        <w:t xml:space="preserve">Matth., XXIII, 39 ; Luc, XIII, 35.</w:t>
      </w:r>
    </w:p>
  </w:footnote>
  <w:footnote w:id="1045">
    <w:p>
      <w:pPr>
        <w:pStyle w:val="Notedebasdepage"/>
      </w:pPr>
      <w:r>
        <w:rPr>
          <w:rStyle w:val="Appelnotedebasdep"/>
        </w:rPr>
        <w:footnoteRef/>
        <w:t xml:space="preserve"> </w:t>
      </w:r>
      <w:r>
        <w:rPr/>
        <w:t xml:space="preserve">Matth., XX, 28.</w:t>
      </w:r>
    </w:p>
  </w:footnote>
  <w:footnote w:id="1046">
    <w:p>
      <w:pPr>
        <w:pStyle w:val="Notedebasdepage"/>
      </w:pPr>
      <w:r>
        <w:rPr>
          <w:rStyle w:val="Appelnotedebasdep"/>
        </w:rPr>
        <w:footnoteRef/>
        <w:t xml:space="preserve"> </w:t>
      </w:r>
      <w:r>
        <w:rPr/>
        <w:t xml:space="preserve">Jean, XI, 56.</w:t>
      </w:r>
    </w:p>
  </w:footnote>
  <w:footnote w:id="1047">
    <w:p>
      <w:pPr>
        <w:pStyle w:val="Notedebasdepage"/>
      </w:pPr>
      <w:r>
        <w:rPr>
          <w:rStyle w:val="Appelnotedebasdep"/>
        </w:rPr>
        <w:footnoteRef/>
        <w:t xml:space="preserve"> </w:t>
      </w:r>
      <w:r>
        <w:rPr/>
        <w:t xml:space="preserve"> La pâque se célébrait le 14 de nisan. Or l’an 33, le 1</w:t>
      </w:r>
      <w:r>
        <w:rPr>
          <w:vertAlign w:val="superscript"/>
        </w:rPr>
        <w:t>er</w:t>
      </w:r>
      <w:r>
        <w:rPr/>
        <w:t xml:space="preserve"> nisan répondait à la journée du samedi, 21 mars.</w:t>
      </w:r>
    </w:p>
  </w:footnote>
  <w:footnote w:id="1048">
    <w:p>
      <w:pPr>
        <w:pStyle w:val="Notedebasdepage"/>
      </w:pPr>
      <w:r>
        <w:rPr>
          <w:rStyle w:val="Appelnotedebasdep"/>
        </w:rPr>
        <w:footnoteRef/>
        <w:t xml:space="preserve"> </w:t>
      </w:r>
      <w:r>
        <w:rPr/>
        <w:t xml:space="preserve">Matth., XXVI, 6 ; Marc, XIV, 3. Cf. Luc, VII, 40, 43-44.</w:t>
      </w:r>
    </w:p>
  </w:footnote>
  <w:footnote w:id="1049">
    <w:p>
      <w:pPr>
        <w:pStyle w:val="Notedebasdepage"/>
      </w:pPr>
      <w:r>
        <w:rPr>
          <w:rStyle w:val="Appelnotedebasdep"/>
        </w:rPr>
        <w:footnoteRef/>
        <w:t xml:space="preserve"> </w:t>
      </w:r>
      <w:r>
        <w:rPr/>
        <w:t xml:space="preserve">Il est très-ordinaire, en Orient, qu’une personne qui vous est attachée par un lien d’affection ou de domesticité aille vous servir quand vous mangez chez autrui.</w:t>
      </w:r>
    </w:p>
  </w:footnote>
  <w:footnote w:id="1050">
    <w:p>
      <w:pPr>
        <w:pStyle w:val="Notedebasdepage"/>
      </w:pPr>
      <w:r>
        <w:rPr>
          <w:rStyle w:val="Appelnotedebasdep"/>
        </w:rPr>
        <w:footnoteRef/>
        <w:t xml:space="preserve"> </w:t>
      </w:r>
      <w:r>
        <w:rPr/>
        <w:t xml:space="preserve">J’ai vu cet usage se pratiquer encore à Sour.</w:t>
      </w:r>
    </w:p>
  </w:footnote>
  <w:footnote w:id="1051">
    <w:p>
      <w:pPr>
        <w:pStyle w:val="Notedebasdepage"/>
      </w:pPr>
      <w:r>
        <w:rPr>
          <w:rStyle w:val="Appelnotedebasdep"/>
        </w:rPr>
        <w:footnoteRef/>
        <w:t xml:space="preserve"> </w:t>
      </w:r>
      <w:r>
        <w:rPr/>
        <w:t xml:space="preserve"> Il faut se rappeler que les pieds des convives n’étaient point, comme chez nous, cachés sous la table, mais étendus à la hauteur du corps sur le divan ou </w:t>
      </w:r>
      <w:r>
        <w:rPr>
          <w:i/>
        </w:rPr>
        <w:t xml:space="preserve">triclinium</w:t>
      </w:r>
      <w:r>
        <w:rPr/>
        <w:t xml:space="preserve">.</w:t>
      </w:r>
    </w:p>
  </w:footnote>
  <w:footnote w:id="1052">
    <w:p>
      <w:pPr>
        <w:pStyle w:val="Notedebasdepage"/>
      </w:pPr>
      <w:r>
        <w:rPr>
          <w:rStyle w:val="Appelnotedebasdep"/>
        </w:rPr>
        <w:footnoteRef/>
        <w:t xml:space="preserve"> </w:t>
      </w:r>
      <w:r>
        <w:rPr/>
        <w:t xml:space="preserve">Matth., XXIV, 6 et suiv. ; Marc, XIV, 3 et suiv. ; Jean, XI, 2 ; XII, 2 et suiv. Comparez Luc, VII, 36 et suiv.</w:t>
      </w:r>
    </w:p>
  </w:footnote>
  <w:footnote w:id="1053">
    <w:p>
      <w:pPr>
        <w:pStyle w:val="Notedebasdepage"/>
      </w:pPr>
      <w:r>
        <w:rPr>
          <w:rStyle w:val="Appelnotedebasdep"/>
        </w:rPr>
        <w:footnoteRef/>
        <w:t xml:space="preserve"> </w:t>
      </w:r>
      <w:r>
        <w:rPr/>
        <w:t xml:space="preserve">Jean, XII, 12.</w:t>
      </w:r>
    </w:p>
  </w:footnote>
  <w:footnote w:id="1054">
    <w:p>
      <w:pPr>
        <w:pStyle w:val="Notedebasdepage"/>
      </w:pPr>
      <w:r>
        <w:rPr>
          <w:rStyle w:val="Appelnotedebasdep"/>
        </w:rPr>
        <w:footnoteRef/>
        <w:t xml:space="preserve"> </w:t>
      </w:r>
      <w:r>
        <w:rPr/>
        <w:t xml:space="preserve">Luc, XIX, 41 et suiv.</w:t>
      </w:r>
    </w:p>
  </w:footnote>
  <w:footnote w:id="1055">
    <w:p>
      <w:pPr>
        <w:pStyle w:val="Notedebasdepage"/>
      </w:pPr>
      <w:r>
        <w:rPr>
          <w:rStyle w:val="Appelnotedebasdep"/>
        </w:rPr>
        <w:footnoteRef/>
        <w:t xml:space="preserve"> </w:t>
      </w:r>
      <w:r>
        <w:rPr/>
        <w:t xml:space="preserve"> Mischna, </w:t>
      </w:r>
      <w:r>
        <w:rPr>
          <w:i/>
        </w:rPr>
        <w:t xml:space="preserve">Menachoth</w:t>
      </w:r>
      <w:r>
        <w:rPr/>
        <w:t xml:space="preserve">, XI, 2 ; Talm. de Bab., </w:t>
      </w:r>
      <w:r>
        <w:rPr>
          <w:i/>
        </w:rPr>
        <w:t xml:space="preserve">Sanhédrin</w:t>
      </w:r>
      <w:r>
        <w:rPr/>
        <w:t xml:space="preserve">, 14 </w:t>
      </w:r>
      <w:r>
        <w:rPr>
          <w:i/>
        </w:rPr>
        <w:t xml:space="preserve">b</w:t>
      </w:r>
      <w:r>
        <w:rPr/>
        <w:t xml:space="preserve"> ; </w:t>
      </w:r>
      <w:r>
        <w:rPr>
          <w:i/>
        </w:rPr>
        <w:t xml:space="preserve">Pesachim</w:t>
      </w:r>
      <w:r>
        <w:rPr/>
        <w:t xml:space="preserve">, 63 </w:t>
      </w:r>
      <w:r>
        <w:rPr>
          <w:i/>
        </w:rPr>
        <w:t xml:space="preserve">b</w:t>
      </w:r>
      <w:r>
        <w:rPr/>
        <w:t xml:space="preserve">, 91 </w:t>
      </w:r>
      <w:r>
        <w:rPr>
          <w:i/>
        </w:rPr>
        <w:t xml:space="preserve">a</w:t>
      </w:r>
      <w:r>
        <w:rPr/>
        <w:t xml:space="preserve"> ; </w:t>
      </w:r>
      <w:r>
        <w:rPr>
          <w:i/>
        </w:rPr>
        <w:t xml:space="preserve">Sota</w:t>
      </w:r>
      <w:r>
        <w:rPr/>
        <w:t xml:space="preserve">, 45 </w:t>
      </w:r>
      <w:r>
        <w:rPr>
          <w:i/>
        </w:rPr>
        <w:t xml:space="preserve">a</w:t>
      </w:r>
      <w:r>
        <w:rPr/>
        <w:t xml:space="preserve"> ; </w:t>
      </w:r>
      <w:r>
        <w:rPr>
          <w:i/>
        </w:rPr>
        <w:t xml:space="preserve">Baba metsia</w:t>
      </w:r>
      <w:r>
        <w:rPr/>
        <w:t xml:space="preserve">, 85 </w:t>
      </w:r>
      <w:r>
        <w:rPr>
          <w:i/>
        </w:rPr>
        <w:t xml:space="preserve">a</w:t>
      </w:r>
      <w:r>
        <w:rPr/>
        <w:t xml:space="preserve">. Il résulte de ces passages que Bethphagé était une sorte de </w:t>
      </w:r>
      <w:r>
        <w:rPr>
          <w:i/>
        </w:rPr>
        <w:t xml:space="preserve">pomoerium</w:t>
      </w:r>
      <w:r>
        <w:rPr/>
        <w:t xml:space="preserve">, qui s’étendait au pied du soubassement oriental du temple, et qui avait lui-même son mur de clôture. Les passages Matth., XXI, 1, Marc, XI, 1, Luc, XIX, 29, n’impliquent pas nettement que Bethphagé fût un village, comme l’ont supposé Eusèbe et S. Jérôme.</w:t>
      </w:r>
    </w:p>
  </w:footnote>
  <w:footnote w:id="1056">
    <w:p>
      <w:pPr>
        <w:pStyle w:val="Notedebasdepage"/>
      </w:pPr>
      <w:r>
        <w:rPr>
          <w:rStyle w:val="Appelnotedebasdep"/>
        </w:rPr>
        <w:footnoteRef/>
        <w:t xml:space="preserve"> </w:t>
      </w:r>
      <w:r>
        <w:rPr/>
        <w:t xml:space="preserve">Matth., XXI, 1 et suiv. ; Marc, XI, 1 et suiv. ; Luc, XIX, 29 et suiv. ; Jean, XII, 12 et suiv.</w:t>
      </w:r>
    </w:p>
  </w:footnote>
  <w:footnote w:id="1057">
    <w:p>
      <w:pPr>
        <w:pStyle w:val="Notedebasdepage"/>
      </w:pPr>
      <w:r>
        <w:rPr>
          <w:rStyle w:val="Appelnotedebasdep"/>
        </w:rPr>
        <w:footnoteRef/>
        <w:t xml:space="preserve"> </w:t>
      </w:r>
      <w:r>
        <w:rPr/>
        <w:t xml:space="preserve">Luc, XIX, 38 ; Jean, XII, 13.</w:t>
      </w:r>
    </w:p>
  </w:footnote>
  <w:footnote w:id="1058">
    <w:p>
      <w:pPr>
        <w:pStyle w:val="Notedebasdepage"/>
      </w:pPr>
      <w:r>
        <w:rPr>
          <w:rStyle w:val="Appelnotedebasdep"/>
        </w:rPr>
        <w:footnoteRef/>
        <w:t xml:space="preserve"> </w:t>
      </w:r>
      <w:r>
        <w:rPr/>
        <w:t xml:space="preserve"> Le chiffre de 120 000, donné par Hécatée (dans Josèphe. </w:t>
      </w:r>
      <w:r>
        <w:rPr>
          <w:i/>
        </w:rPr>
        <w:t xml:space="preserve">Contre Apion</w:t>
      </w:r>
      <w:r>
        <w:rPr/>
        <w:t xml:space="preserve">, I, 22), paraît exagéré. Cicéron parle de Jérusalem comme d’une bicoque (</w:t>
      </w:r>
      <w:r>
        <w:rPr>
          <w:i/>
        </w:rPr>
        <w:t xml:space="preserve">Ad Atticum</w:t>
      </w:r>
      <w:r>
        <w:rPr/>
        <w:t xml:space="preserve">, II, IX). Les anciennes enceintes, quelque système qu’on adopte, ne comportent pas une population quadruple de celle d’aujourd’hui, laquelle n’atteint pas 15,000 habitants. V. Robinson, </w:t>
      </w:r>
      <w:r>
        <w:rPr>
          <w:i/>
        </w:rPr>
        <w:t xml:space="preserve">Bibl. Res</w:t>
      </w:r>
      <w:r>
        <w:rPr/>
        <w:t xml:space="preserve">., I, 421-422 (2</w:t>
      </w:r>
      <w:r>
        <w:rPr>
          <w:vertAlign w:val="superscript"/>
        </w:rPr>
        <w:t>e</w:t>
      </w:r>
      <w:r>
        <w:rPr/>
        <w:t xml:space="preserve"> édition) ; Fergusson, </w:t>
      </w:r>
      <w:r>
        <w:rPr>
          <w:i/>
        </w:rPr>
        <w:t xml:space="preserve">Topogr. of Jerus</w:t>
      </w:r>
      <w:r>
        <w:rPr/>
        <w:t xml:space="preserve">., p. 51 ; Forster, </w:t>
      </w:r>
      <w:r>
        <w:rPr>
          <w:i/>
        </w:rPr>
        <w:t xml:space="preserve">Syria and Palestine</w:t>
      </w:r>
      <w:r>
        <w:rPr/>
        <w:t xml:space="preserve">, p. 82.</w:t>
      </w:r>
    </w:p>
  </w:footnote>
  <w:footnote w:id="1059">
    <w:p>
      <w:pPr>
        <w:pStyle w:val="Notedebasdepage"/>
      </w:pPr>
      <w:r>
        <w:rPr>
          <w:rStyle w:val="Appelnotedebasdep"/>
        </w:rPr>
        <w:footnoteRef/>
        <w:t xml:space="preserve"> </w:t>
      </w:r>
      <w:r>
        <w:rPr/>
        <w:t xml:space="preserve"> Jos., </w:t>
      </w:r>
      <w:r>
        <w:rPr>
          <w:i/>
        </w:rPr>
        <w:t xml:space="preserve">B. J</w:t>
      </w:r>
      <w:r>
        <w:rPr/>
        <w:t xml:space="preserve">., II, XIV, 3 ; VI, IX, 3.</w:t>
      </w:r>
    </w:p>
  </w:footnote>
  <w:footnote w:id="1060">
    <w:p>
      <w:pPr>
        <w:pStyle w:val="Notedebasdepage"/>
      </w:pPr>
      <w:r>
        <w:rPr>
          <w:rStyle w:val="Appelnotedebasdep"/>
        </w:rPr>
        <w:footnoteRef/>
        <w:t xml:space="preserve"> </w:t>
      </w:r>
      <w:r>
        <w:rPr/>
        <w:t xml:space="preserve">Jean, XII, 20 et suiv.</w:t>
      </w:r>
    </w:p>
  </w:footnote>
  <w:footnote w:id="1061">
    <w:p>
      <w:pPr>
        <w:pStyle w:val="Notedebasdepage"/>
      </w:pPr>
      <w:r>
        <w:rPr>
          <w:rStyle w:val="Appelnotedebasdep"/>
        </w:rPr>
        <w:footnoteRef/>
        <w:t xml:space="preserve"> </w:t>
      </w:r>
      <w:r>
        <w:rPr/>
        <w:t xml:space="preserve">Matth., XXI, 17 ; Marc, XI, 11.</w:t>
      </w:r>
    </w:p>
  </w:footnote>
  <w:footnote w:id="1062">
    <w:p>
      <w:pPr>
        <w:pStyle w:val="Notedebasdepage"/>
      </w:pPr>
      <w:r>
        <w:rPr>
          <w:rStyle w:val="Appelnotedebasdep"/>
        </w:rPr>
        <w:footnoteRef/>
        <w:t xml:space="preserve"> </w:t>
      </w:r>
      <w:r>
        <w:rPr/>
        <w:t xml:space="preserve">Matth., XXI, 17-18 ; Marc, XI, 11-12, 19 ; Luc, XXI, 37-38.</w:t>
      </w:r>
    </w:p>
  </w:footnote>
  <w:footnote w:id="1063">
    <w:p>
      <w:pPr>
        <w:pStyle w:val="Notedebasdepage"/>
      </w:pPr>
      <w:r>
        <w:rPr>
          <w:rStyle w:val="Appelnotedebasdep"/>
        </w:rPr>
        <w:footnoteRef/>
        <w:t xml:space="preserve"> </w:t>
      </w:r>
      <w:r>
        <w:rPr/>
        <w:t xml:space="preserve">Jean, XII, 27 et suiv. On comprend que le ton exalté de Jean et sa préoccupation exclusive du rôle divin de Jésus aient effacé du récit les circonstances de faiblesse naturelle racontées par les synoptiques.</w:t>
      </w:r>
    </w:p>
  </w:footnote>
  <w:footnote w:id="1064">
    <w:p>
      <w:pPr>
        <w:pStyle w:val="Notedebasdepage"/>
      </w:pPr>
      <w:r>
        <w:rPr>
          <w:rStyle w:val="Appelnotedebasdep"/>
        </w:rPr>
        <w:footnoteRef/>
        <w:t xml:space="preserve"> </w:t>
      </w:r>
      <w:r>
        <w:rPr/>
        <w:t xml:space="preserve">Luc, XXII, 43 ; Jean, XII, 28-29.</w:t>
      </w:r>
    </w:p>
  </w:footnote>
  <w:footnote w:id="1065">
    <w:p>
      <w:pPr>
        <w:pStyle w:val="Notedebasdepage"/>
      </w:pPr>
      <w:r>
        <w:rPr>
          <w:rStyle w:val="Appelnotedebasdep"/>
        </w:rPr>
        <w:footnoteRef/>
        <w:t xml:space="preserve"> </w:t>
      </w:r>
      <w:r>
        <w:rPr/>
        <w:t xml:space="preserve">Matth., XVIII, 36 et suiv. ; Marc, XIV, 32 et suiv. ; Luc, XXII, 39 et suiv.</w:t>
      </w:r>
    </w:p>
  </w:footnote>
  <w:footnote w:id="1066">
    <w:p>
      <w:pPr>
        <w:pStyle w:val="Notedebasdepage"/>
      </w:pPr>
      <w:r>
        <w:rPr>
          <w:rStyle w:val="Appelnotedebasdep"/>
        </w:rPr>
        <w:footnoteRef/>
        <w:t xml:space="preserve"> </w:t>
      </w:r>
      <w:r>
        <w:rPr/>
        <w:t xml:space="preserve">Cela se comprendrait d’autant moins que Jean met une sorte d’affectation à relever les circonstances qui lui sont personnelles ou dont il a été le seul témoin (XIII, 23 et suiv. ; XVIII, 15 et suiv. ; XIX, 26 et suiv., 35 ; XX, 2 et suiv. ; XXI, 20 et suiv.).</w:t>
      </w:r>
    </w:p>
  </w:footnote>
  <w:footnote w:id="1067">
    <w:p>
      <w:pPr>
        <w:pStyle w:val="Notedebasdepage"/>
      </w:pPr>
      <w:r>
        <w:rPr>
          <w:rStyle w:val="Appelnotedebasdep"/>
        </w:rPr>
        <w:footnoteRef/>
        <w:t xml:space="preserve"> </w:t>
      </w:r>
      <w:r>
        <w:rPr/>
        <w:t xml:space="preserve">Matth., XXVI, 1-5 ; Marc, XIV, 1-2 ; Luc, XXII, 1-2.</w:t>
      </w:r>
    </w:p>
  </w:footnote>
  <w:footnote w:id="1068">
    <w:p>
      <w:pPr>
        <w:pStyle w:val="Notedebasdepage"/>
      </w:pPr>
      <w:r>
        <w:rPr>
          <w:rStyle w:val="Appelnotedebasdep"/>
        </w:rPr>
        <w:footnoteRef/>
        <w:t xml:space="preserve"> </w:t>
      </w:r>
      <w:r>
        <w:rPr/>
        <w:t xml:space="preserve">Matth., XXI, 46.</w:t>
      </w:r>
    </w:p>
  </w:footnote>
  <w:footnote w:id="1069">
    <w:p>
      <w:pPr>
        <w:pStyle w:val="Notedebasdepage"/>
      </w:pPr>
      <w:r>
        <w:rPr>
          <w:rStyle w:val="Appelnotedebasdep"/>
        </w:rPr>
        <w:footnoteRef/>
        <w:t xml:space="preserve"> </w:t>
      </w:r>
      <w:r>
        <w:rPr/>
        <w:t xml:space="preserve">Matth., XXVI, 55.</w:t>
      </w:r>
    </w:p>
  </w:footnote>
  <w:footnote w:id="1070">
    <w:p>
      <w:pPr>
        <w:pStyle w:val="Notedebasdepage"/>
      </w:pPr>
      <w:r>
        <w:rPr>
          <w:rStyle w:val="Appelnotedebasdep"/>
        </w:rPr>
        <w:footnoteRef/>
        <w:t xml:space="preserve"> </w:t>
      </w:r>
      <w:r>
        <w:rPr/>
        <w:t xml:space="preserve">Jean, XII, 6.</w:t>
      </w:r>
    </w:p>
  </w:footnote>
  <w:footnote w:id="1071">
    <w:p>
      <w:pPr>
        <w:pStyle w:val="Notedebasdepage"/>
      </w:pPr>
      <w:r>
        <w:rPr>
          <w:rStyle w:val="Appelnotedebasdep"/>
        </w:rPr>
        <w:footnoteRef/>
        <w:t xml:space="preserve"> </w:t>
      </w:r>
      <w:r>
        <w:rPr/>
        <w:t xml:space="preserve">Jean ne parle même pas d’un salaire en argent.</w:t>
      </w:r>
    </w:p>
  </w:footnote>
  <w:footnote w:id="1072">
    <w:p>
      <w:pPr>
        <w:pStyle w:val="Notedebasdepage"/>
      </w:pPr>
      <w:r>
        <w:rPr>
          <w:rStyle w:val="Appelnotedebasdep"/>
        </w:rPr>
        <w:footnoteRef/>
        <w:t xml:space="preserve"> </w:t>
      </w:r>
      <w:r>
        <w:rPr/>
        <w:t xml:space="preserve">Jean, VI, 65 ; XII, 6.</w:t>
      </w:r>
    </w:p>
  </w:footnote>
  <w:footnote w:id="1073">
    <w:p>
      <w:pPr>
        <w:pStyle w:val="Notedebasdepage"/>
      </w:pPr>
      <w:r>
        <w:rPr>
          <w:rStyle w:val="Appelnotedebasdep"/>
        </w:rPr>
        <w:footnoteRef/>
        <w:t xml:space="preserve"> </w:t>
      </w:r>
      <w:r>
        <w:rPr/>
        <w:t xml:space="preserve">Jean, VI, 65, 71-72 ; XII, 6 ; XIII, 2, 27 et suiv.</w:t>
      </w:r>
    </w:p>
  </w:footnote>
  <w:footnote w:id="1074">
    <w:p>
      <w:pPr>
        <w:pStyle w:val="Notedebasdepage"/>
      </w:pPr>
      <w:r>
        <w:rPr>
          <w:rStyle w:val="Appelnotedebasdep"/>
        </w:rPr>
        <w:footnoteRef/>
        <w:t xml:space="preserve"> </w:t>
      </w:r>
      <w:r>
        <w:rPr/>
        <w:t xml:space="preserve">Matth., XXVII, 3 et suiv.</w:t>
      </w:r>
    </w:p>
  </w:footnote>
  <w:footnote w:id="1075">
    <w:p>
      <w:pPr>
        <w:pStyle w:val="Notedebasdepage"/>
      </w:pPr>
      <w:r>
        <w:rPr>
          <w:rStyle w:val="Appelnotedebasdep"/>
        </w:rPr>
        <w:footnoteRef/>
        <w:t xml:space="preserve"> </w:t>
      </w:r>
      <w:r>
        <w:rPr/>
        <w:t xml:space="preserve">Matth., XXVI, 4 et suiv. ; Marc, XIV, 42 ; Luc, XXII, 7 ; Jean, XIII, 29.</w:t>
      </w:r>
    </w:p>
  </w:footnote>
  <w:footnote w:id="1076">
    <w:p>
      <w:pPr>
        <w:pStyle w:val="Notedebasdepage"/>
      </w:pPr>
      <w:r>
        <w:rPr>
          <w:rStyle w:val="Appelnotedebasdep"/>
        </w:rPr>
        <w:footnoteRef/>
        <w:t xml:space="preserve"> </w:t>
      </w:r>
      <w:r>
        <w:rPr/>
        <w:t xml:space="preserve"> C’est le système des synoptiques (Matth., XXVI, 47 et suiv. ; Marc, XIV, 42 et suiv. ; Luc, XXII, 7 et suiv., 45). Mais Jean, dont le récit a pour cette partie une autorité prépondérante, suppose formellement que Jésus mourut le jour même où l’on mangeait l’agneau (XIII, 1-2, 29 ; XVIII, 28 ; XIX, 14, 34). Le Talmud fait aussi mourir Jésus « la veille de Pâque » (Talm. de Bab., </w:t>
      </w:r>
      <w:r>
        <w:rPr>
          <w:i/>
        </w:rPr>
        <w:t xml:space="preserve">Sanhédrin</w:t>
      </w:r>
      <w:r>
        <w:rPr/>
        <w:t xml:space="preserve">, 43 </w:t>
      </w:r>
      <w:r>
        <w:rPr>
          <w:i/>
        </w:rPr>
        <w:t xml:space="preserve">a</w:t>
      </w:r>
      <w:r>
        <w:rPr/>
        <w:t xml:space="preserve">, 67 </w:t>
      </w:r>
      <w:r>
        <w:rPr>
          <w:i/>
        </w:rPr>
        <w:t xml:space="preserve">a</w:t>
      </w:r>
      <w:r>
        <w:rPr/>
        <w:t xml:space="preserve">).</w:t>
      </w:r>
    </w:p>
  </w:footnote>
  <w:footnote w:id="1077">
    <w:p>
      <w:pPr>
        <w:pStyle w:val="Notedebasdepage"/>
      </w:pPr>
      <w:r>
        <w:rPr>
          <w:rStyle w:val="Appelnotedebasdep"/>
        </w:rPr>
        <w:footnoteRef/>
        <w:t xml:space="preserve"> </w:t>
      </w:r>
      <w:r>
        <w:rPr/>
        <w:t xml:space="preserve">Jean, XIII, 1 et suiv.</w:t>
      </w:r>
    </w:p>
  </w:footnote>
  <w:footnote w:id="1078">
    <w:p>
      <w:pPr>
        <w:pStyle w:val="Notedebasdepage"/>
      </w:pPr>
      <w:r>
        <w:rPr>
          <w:rStyle w:val="Appelnotedebasdep"/>
        </w:rPr>
        <w:footnoteRef/>
        <w:t xml:space="preserve"> </w:t>
      </w:r>
      <w:r>
        <w:rPr/>
        <w:t xml:space="preserve">Matth., XXVI, 21 et suiv. ; Marc, XIV, 18 et suiv. ; Luc, XX, 24 et suiv. ; Jean, XIII, 21 et suiv. ; XXI, 20.</w:t>
      </w:r>
    </w:p>
  </w:footnote>
  <w:footnote w:id="1079">
    <w:p>
      <w:pPr>
        <w:pStyle w:val="Notedebasdepage"/>
      </w:pPr>
      <w:r>
        <w:rPr>
          <w:rStyle w:val="Appelnotedebasdep"/>
        </w:rPr>
        <w:footnoteRef/>
        <w:t xml:space="preserve"> </w:t>
      </w:r>
      <w:r>
        <w:rPr/>
        <w:t xml:space="preserve">Jean, XIII, 24 et suiv., qui lève les invraisemblances du récit des synoptiques.</w:t>
      </w:r>
    </w:p>
  </w:footnote>
  <w:footnote w:id="1080">
    <w:p>
      <w:pPr>
        <w:pStyle w:val="Notedebasdepage"/>
      </w:pPr>
      <w:r>
        <w:rPr>
          <w:rStyle w:val="Appelnotedebasdep"/>
        </w:rPr>
        <w:footnoteRef/>
        <w:t xml:space="preserve"> </w:t>
      </w:r>
      <w:r>
        <w:rPr/>
        <w:t xml:space="preserve">Luc, XXII., 20.</w:t>
      </w:r>
    </w:p>
  </w:footnote>
  <w:footnote w:id="1081">
    <w:p>
      <w:pPr>
        <w:pStyle w:val="Notedebasdepage"/>
      </w:pPr>
      <w:r>
        <w:rPr>
          <w:rStyle w:val="Appelnotedebasdep"/>
        </w:rPr>
        <w:footnoteRef/>
        <w:t xml:space="preserve"> </w:t>
      </w:r>
      <w:r>
        <w:rPr/>
        <w:t xml:space="preserve">I Cor., XI, 26.</w:t>
      </w:r>
    </w:p>
  </w:footnote>
  <w:footnote w:id="1082">
    <w:p>
      <w:pPr>
        <w:pStyle w:val="Notedebasdepage"/>
      </w:pPr>
      <w:r>
        <w:rPr>
          <w:rStyle w:val="Appelnotedebasdep"/>
        </w:rPr>
        <w:footnoteRef/>
        <w:t xml:space="preserve"> </w:t>
      </w:r>
      <w:r>
        <w:rPr/>
        <w:t xml:space="preserve">Matth., XXVI, 26-28 ; Marc, XIV, 22-24 ; Luc, XXII, 19-21 ; I Cor., XI, 23-25.</w:t>
      </w:r>
    </w:p>
  </w:footnote>
  <w:footnote w:id="1083">
    <w:p>
      <w:pPr>
        <w:pStyle w:val="Notedebasdepage"/>
      </w:pPr>
      <w:r>
        <w:rPr>
          <w:rStyle w:val="Appelnotedebasdep"/>
        </w:rPr>
        <w:footnoteRef/>
        <w:t xml:space="preserve"> </w:t>
      </w:r>
      <w:r>
        <w:rPr/>
        <w:t xml:space="preserve">Ch. VI.</w:t>
      </w:r>
    </w:p>
  </w:footnote>
  <w:footnote w:id="1084">
    <w:p>
      <w:pPr>
        <w:pStyle w:val="Notedebasdepage"/>
      </w:pPr>
      <w:r>
        <w:rPr>
          <w:rStyle w:val="Appelnotedebasdep"/>
        </w:rPr>
        <w:footnoteRef/>
        <w:t xml:space="preserve"> </w:t>
      </w:r>
      <w:r>
        <w:rPr/>
        <w:t xml:space="preserve">Ch. XIII-XVII.</w:t>
      </w:r>
    </w:p>
  </w:footnote>
  <w:footnote w:id="1085">
    <w:p>
      <w:pPr>
        <w:pStyle w:val="Notedebasdepage"/>
      </w:pPr>
      <w:r>
        <w:rPr>
          <w:rStyle w:val="Appelnotedebasdep"/>
        </w:rPr>
        <w:footnoteRef/>
        <w:t xml:space="preserve"> </w:t>
      </w:r>
      <w:r>
        <w:rPr/>
        <w:t xml:space="preserve">Jean, XIII, 14-45. Cf. Matth., XX, 26 et suiv. ; Luc, XXII, 26 et suiv.</w:t>
      </w:r>
    </w:p>
  </w:footnote>
  <w:footnote w:id="1086">
    <w:p>
      <w:pPr>
        <w:pStyle w:val="Notedebasdepage"/>
      </w:pPr>
      <w:r>
        <w:rPr>
          <w:rStyle w:val="Appelnotedebasdep"/>
        </w:rPr>
        <w:footnoteRef/>
        <w:t xml:space="preserve"> </w:t>
      </w:r>
      <w:r>
        <w:rPr/>
        <w:t xml:space="preserve">Jean, XIII, 1 et suiv. Les discours placés par Jean à la suite du récit de la Cène ne peuvent être pris pour historiques. Ils sont pleins de tours et d’expressions qui ne sont pas dans le style des discours de Jésus, et qui, au contraire, rentrent très-bien dans le langage habituel de Jean. Ainsi l’expression « petits enfants » au vocatif (Jean, XIII, 33) est très-fréquente dans la première épître de Jean. Elle ne paraît pas avoir été familière à Jésus.</w:t>
      </w:r>
    </w:p>
  </w:footnote>
  <w:footnote w:id="1087">
    <w:p>
      <w:pPr>
        <w:pStyle w:val="Notedebasdepage"/>
      </w:pPr>
      <w:r>
        <w:rPr>
          <w:rStyle w:val="Appelnotedebasdep"/>
        </w:rPr>
        <w:footnoteRef/>
        <w:t xml:space="preserve"> </w:t>
      </w:r>
      <w:r>
        <w:rPr/>
        <w:t xml:space="preserve">Jean, XIII, 33-35 ; XV, 12-17.</w:t>
      </w:r>
    </w:p>
  </w:footnote>
  <w:footnote w:id="1088">
    <w:p>
      <w:pPr>
        <w:pStyle w:val="Notedebasdepage"/>
      </w:pPr>
      <w:r>
        <w:rPr>
          <w:rStyle w:val="Appelnotedebasdep"/>
        </w:rPr>
        <w:footnoteRef/>
        <w:t xml:space="preserve"> </w:t>
      </w:r>
      <w:r>
        <w:rPr/>
        <w:t xml:space="preserve">Luc, XXII, 24-27. Cf. Jean, XIII, 4 et suiv.</w:t>
      </w:r>
    </w:p>
  </w:footnote>
  <w:footnote w:id="1089">
    <w:p>
      <w:pPr>
        <w:pStyle w:val="Notedebasdepage"/>
      </w:pPr>
      <w:r>
        <w:rPr>
          <w:rStyle w:val="Appelnotedebasdep"/>
        </w:rPr>
        <w:footnoteRef/>
        <w:t xml:space="preserve"> </w:t>
      </w:r>
      <w:r>
        <w:rPr/>
        <w:t xml:space="preserve">Matth., XXVI, 29 ; Marc, XIV, 25 ; Luc, XXII, 18.</w:t>
      </w:r>
    </w:p>
  </w:footnote>
  <w:footnote w:id="1090">
    <w:p>
      <w:pPr>
        <w:pStyle w:val="Notedebasdepage"/>
      </w:pPr>
      <w:r>
        <w:rPr>
          <w:rStyle w:val="Appelnotedebasdep"/>
        </w:rPr>
        <w:footnoteRef/>
        <w:t xml:space="preserve"> </w:t>
      </w:r>
      <w:r>
        <w:rPr/>
        <w:t xml:space="preserve">Luc, XXII, 29-30.</w:t>
      </w:r>
    </w:p>
  </w:footnote>
  <w:footnote w:id="1091">
    <w:p>
      <w:pPr>
        <w:pStyle w:val="Notedebasdepage"/>
      </w:pPr>
      <w:r>
        <w:rPr>
          <w:rStyle w:val="Appelnotedebasdep"/>
        </w:rPr>
        <w:footnoteRef/>
        <w:t xml:space="preserve"> </w:t>
      </w:r>
      <w:r>
        <w:rPr/>
        <w:t xml:space="preserve">Luc, XXII, 36-38.</w:t>
      </w:r>
    </w:p>
  </w:footnote>
  <w:footnote w:id="1092">
    <w:p>
      <w:pPr>
        <w:pStyle w:val="Notedebasdepage"/>
      </w:pPr>
      <w:r>
        <w:rPr>
          <w:rStyle w:val="Appelnotedebasdep"/>
        </w:rPr>
        <w:footnoteRef/>
        <w:t xml:space="preserve"> </w:t>
      </w:r>
      <w:r>
        <w:rPr/>
        <w:t xml:space="preserve">Matth., XXVI, 31 et suiv. ; Marc, XIV, 29 et suiv. ; Luc, XXII, 33 et suiv. ; Jean, XIII, 36 et suiv.</w:t>
      </w:r>
    </w:p>
  </w:footnote>
  <w:footnote w:id="1093">
    <w:p>
      <w:pPr>
        <w:pStyle w:val="Notedebasdepage"/>
      </w:pPr>
      <w:r>
        <w:rPr>
          <w:rStyle w:val="Appelnotedebasdep"/>
        </w:rPr>
        <w:footnoteRef/>
        <w:t xml:space="preserve"> </w:t>
      </w:r>
      <w:r>
        <w:rPr/>
        <w:t xml:space="preserve">Jean, XIII, 30.</w:t>
      </w:r>
    </w:p>
  </w:footnote>
  <w:footnote w:id="1094">
    <w:p>
      <w:pPr>
        <w:pStyle w:val="Notedebasdepage"/>
      </w:pPr>
      <w:r>
        <w:rPr>
          <w:rStyle w:val="Appelnotedebasdep"/>
        </w:rPr>
        <w:footnoteRef/>
        <w:t xml:space="preserve"> </w:t>
      </w:r>
      <w:r>
        <w:rPr/>
        <w:t xml:space="preserve"> La circonstance d’un chant religieux, rapportée par Matth., XXVI, 30, et Marc, XIV, 26, vient de l’opinion où sont ces deux évangélistes que le dernier repas de Jésus fut le festin pascal. Avant et après le festin pascal, on chantait des psaumes. Talm. de Bab., </w:t>
      </w:r>
      <w:r>
        <w:rPr>
          <w:i/>
        </w:rPr>
        <w:t xml:space="preserve">Pesachim</w:t>
      </w:r>
      <w:r>
        <w:rPr/>
        <w:t xml:space="preserve">, cap. IX, hal. 3 et fol. 118 </w:t>
      </w:r>
      <w:r>
        <w:rPr>
          <w:i/>
        </w:rPr>
        <w:t xml:space="preserve">a</w:t>
      </w:r>
      <w:r>
        <w:rPr/>
        <w:t xml:space="preserve">, etc.</w:t>
      </w:r>
    </w:p>
  </w:footnote>
  <w:footnote w:id="1095">
    <w:p>
      <w:pPr>
        <w:pStyle w:val="Notedebasdepage"/>
      </w:pPr>
      <w:r>
        <w:rPr>
          <w:rStyle w:val="Appelnotedebasdep"/>
        </w:rPr>
        <w:footnoteRef/>
        <w:t xml:space="preserve"> </w:t>
      </w:r>
      <w:r>
        <w:rPr/>
        <w:t xml:space="preserve">Matth., XXVI, 36 ; Marc, XIV, 32 ; Luc, XXII, 39 ; Jean, XVIII, 1-2.</w:t>
      </w:r>
    </w:p>
  </w:footnote>
  <w:footnote w:id="1096">
    <w:p>
      <w:pPr>
        <w:pStyle w:val="Notedebasdepage"/>
      </w:pPr>
      <w:r>
        <w:rPr>
          <w:rStyle w:val="Appelnotedebasdep"/>
        </w:rPr>
        <w:footnoteRef/>
        <w:t xml:space="preserve"> </w:t>
      </w:r>
      <w:r>
        <w:rPr/>
        <w:t xml:space="preserve">Matth., XXVI, 47 ; Marc, XIV, 43 ; Jean, XVIII, 3, 12.</w:t>
      </w:r>
    </w:p>
  </w:footnote>
  <w:footnote w:id="1097">
    <w:p>
      <w:pPr>
        <w:pStyle w:val="Notedebasdepage"/>
      </w:pPr>
      <w:r>
        <w:rPr>
          <w:rStyle w:val="Appelnotedebasdep"/>
        </w:rPr>
        <w:footnoteRef/>
        <w:t xml:space="preserve"> </w:t>
      </w:r>
      <w:r>
        <w:rPr/>
        <w:t xml:space="preserve"> Matth., XXVI, 47 ; Marc, XIV, 43 ; Luc, XXII, 47 ; Jean, XVIII, 3 ; </w:t>
      </w:r>
      <w:r>
        <w:rPr>
          <w:i/>
        </w:rPr>
        <w:t xml:space="preserve">Act.</w:t>
      </w:r>
      <w:r>
        <w:rPr/>
        <w:t xml:space="preserve">, I, 16.</w:t>
      </w:r>
    </w:p>
  </w:footnote>
  <w:footnote w:id="1098">
    <w:p>
      <w:pPr>
        <w:pStyle w:val="Notedebasdepage"/>
      </w:pPr>
      <w:r>
        <w:rPr>
          <w:rStyle w:val="Appelnotedebasdep"/>
        </w:rPr>
        <w:footnoteRef/>
        <w:t xml:space="preserve"> </w:t>
      </w:r>
      <w:r>
        <w:rPr/>
        <w:t xml:space="preserve">C’est la tradition des synoptiques. Dans le récit de Jean, Jésus se nomme lui-même.</w:t>
      </w:r>
    </w:p>
  </w:footnote>
  <w:footnote w:id="1099">
    <w:p>
      <w:pPr>
        <w:pStyle w:val="Notedebasdepage"/>
      </w:pPr>
      <w:r>
        <w:rPr>
          <w:rStyle w:val="Appelnotedebasdep"/>
        </w:rPr>
        <w:footnoteRef/>
        <w:t xml:space="preserve"> </w:t>
      </w:r>
      <w:r>
        <w:rPr/>
        <w:t xml:space="preserve">Les deux traditions sont d’accord sur ce point.</w:t>
      </w:r>
    </w:p>
  </w:footnote>
  <w:footnote w:id="1100">
    <w:p>
      <w:pPr>
        <w:pStyle w:val="Notedebasdepage"/>
      </w:pPr>
      <w:r>
        <w:rPr>
          <w:rStyle w:val="Appelnotedebasdep"/>
        </w:rPr>
        <w:footnoteRef/>
        <w:t xml:space="preserve"> </w:t>
      </w:r>
      <w:r>
        <w:rPr/>
        <w:t xml:space="preserve">Jean, XVIII, 10.</w:t>
      </w:r>
    </w:p>
  </w:footnote>
  <w:footnote w:id="1101">
    <w:p>
      <w:pPr>
        <w:pStyle w:val="Notedebasdepage"/>
      </w:pPr>
      <w:r>
        <w:rPr>
          <w:rStyle w:val="Appelnotedebasdep"/>
        </w:rPr>
        <w:footnoteRef/>
        <w:t xml:space="preserve"> </w:t>
      </w:r>
      <w:r>
        <w:rPr/>
        <w:t xml:space="preserve">Marc, XIV, 51-52.</w:t>
      </w:r>
    </w:p>
  </w:footnote>
  <w:footnote w:id="1102">
    <w:p>
      <w:pPr>
        <w:pStyle w:val="Notedebasdepage"/>
      </w:pPr>
      <w:r>
        <w:rPr>
          <w:rStyle w:val="Appelnotedebasdep"/>
        </w:rPr>
        <w:footnoteRef/>
        <w:t xml:space="preserve"> </w:t>
      </w:r>
      <w:r>
        <w:rPr/>
        <w:t xml:space="preserve"> En matière criminelle, on n’admettait que des témoins oculaires. Mischna, </w:t>
      </w:r>
      <w:r>
        <w:rPr>
          <w:i/>
        </w:rPr>
        <w:t xml:space="preserve">Sanhédrin</w:t>
      </w:r>
      <w:r>
        <w:rPr/>
        <w:t xml:space="preserve"> IV, 5.</w:t>
      </w:r>
    </w:p>
  </w:footnote>
  <w:footnote w:id="1103">
    <w:p>
      <w:pPr>
        <w:pStyle w:val="Notedebasdepage"/>
      </w:pPr>
      <w:r>
        <w:rPr>
          <w:rStyle w:val="Appelnotedebasdep"/>
        </w:rPr>
        <w:footnoteRef/>
        <w:t xml:space="preserve"> </w:t>
      </w:r>
      <w:r>
        <w:rPr/>
        <w:t xml:space="preserve"> Talm. de Jérus., </w:t>
      </w:r>
      <w:r>
        <w:rPr>
          <w:i/>
        </w:rPr>
        <w:t xml:space="preserve">Sanhédrin</w:t>
      </w:r>
      <w:r>
        <w:rPr/>
        <w:t xml:space="preserve">, XIV, 16 ; Talm. de Bab., même traité, 43 </w:t>
      </w:r>
      <w:r>
        <w:rPr>
          <w:i/>
        </w:rPr>
        <w:t xml:space="preserve">a</w:t>
      </w:r>
      <w:r>
        <w:rPr/>
        <w:t xml:space="preserve">, 67 </w:t>
      </w:r>
      <w:r>
        <w:rPr>
          <w:i/>
        </w:rPr>
        <w:t xml:space="preserve">a</w:t>
      </w:r>
      <w:r>
        <w:rPr/>
        <w:t xml:space="preserve">. Cf. </w:t>
      </w:r>
      <w:r>
        <w:rPr>
          <w:i/>
        </w:rPr>
        <w:t xml:space="preserve">Schabbath</w:t>
      </w:r>
      <w:r>
        <w:rPr/>
        <w:t xml:space="preserve">, 104 </w:t>
      </w:r>
      <w:r>
        <w:rPr>
          <w:i/>
        </w:rPr>
        <w:t xml:space="preserve">b</w:t>
      </w:r>
      <w:r>
        <w:rPr/>
        <w:t xml:space="preserve">.</w:t>
      </w:r>
    </w:p>
  </w:footnote>
  <w:footnote w:id="1104">
    <w:p>
      <w:pPr>
        <w:pStyle w:val="Notedebasdepage"/>
      </w:pPr>
      <w:r>
        <w:rPr>
          <w:rStyle w:val="Appelnotedebasdep"/>
        </w:rPr>
        <w:footnoteRef/>
        <w:t xml:space="preserve"> </w:t>
      </w:r>
      <w:r>
        <w:rPr/>
        <w:t xml:space="preserve">Matth., XXVII, 63 ; Jean, VII, 12, 47.</w:t>
      </w:r>
    </w:p>
  </w:footnote>
  <w:footnote w:id="1105">
    <w:p>
      <w:pPr>
        <w:pStyle w:val="Notedebasdepage"/>
      </w:pPr>
      <w:r>
        <w:rPr>
          <w:rStyle w:val="Appelnotedebasdep"/>
        </w:rPr>
        <w:footnoteRef/>
        <w:t xml:space="preserve"> </w:t>
      </w:r>
      <w:r>
        <w:rPr/>
        <w:t xml:space="preserve">Jean, XVIII, 13 et suiv. Cette circonstance, que l’on ne trouve que dans Jean, est la plus forte preuve de la valeur historique du quatrième évangile.</w:t>
      </w:r>
    </w:p>
  </w:footnote>
  <w:footnote w:id="1106">
    <w:p>
      <w:pPr>
        <w:pStyle w:val="Notedebasdepage"/>
      </w:pPr>
      <w:r>
        <w:rPr>
          <w:rStyle w:val="Appelnotedebasdep"/>
        </w:rPr>
        <w:footnoteRef/>
        <w:t xml:space="preserve"> </w:t>
      </w:r>
      <w:r>
        <w:rPr/>
        <w:t xml:space="preserve">Matth., XXVI, 69 et suiv. ; Marc, XIV, 66 et suiv. ; Luc, XXII, 54 et suiv. ; Jean, XVIII, 15 et suiv. ; 25 et suiv.</w:t>
      </w:r>
    </w:p>
  </w:footnote>
  <w:footnote w:id="1107">
    <w:p>
      <w:pPr>
        <w:pStyle w:val="Notedebasdepage"/>
      </w:pPr>
      <w:r>
        <w:rPr>
          <w:rStyle w:val="Appelnotedebasdep"/>
        </w:rPr>
        <w:footnoteRef/>
        <w:t xml:space="preserve"> </w:t>
      </w:r>
      <w:r>
        <w:rPr/>
        <w:t xml:space="preserve">Matth., XVI, 57 ; Marc, XIV, 53 ; Luc, XXII, 66.</w:t>
      </w:r>
    </w:p>
  </w:footnote>
  <w:footnote w:id="1108">
    <w:p>
      <w:pPr>
        <w:pStyle w:val="Notedebasdepage"/>
      </w:pPr>
      <w:r>
        <w:rPr>
          <w:rStyle w:val="Appelnotedebasdep"/>
        </w:rPr>
        <w:footnoteRef/>
        <w:t xml:space="preserve"> </w:t>
      </w:r>
      <w:r>
        <w:rPr/>
        <w:t xml:space="preserve">Matth., XXIII, 16 et suiv.</w:t>
      </w:r>
    </w:p>
  </w:footnote>
  <w:footnote w:id="1109">
    <w:p>
      <w:pPr>
        <w:pStyle w:val="Notedebasdepage"/>
      </w:pPr>
      <w:r>
        <w:rPr>
          <w:rStyle w:val="Appelnotedebasdep"/>
        </w:rPr>
        <w:footnoteRef/>
        <w:t xml:space="preserve"> </w:t>
      </w:r>
      <w:r>
        <w:rPr/>
        <w:t xml:space="preserve">Matth., XXVI, 64 ; Marc, XIV, 62 ; Luc, XXII, 69. Jean ne sait rien de cette scène.</w:t>
      </w:r>
    </w:p>
  </w:footnote>
  <w:footnote w:id="1110">
    <w:p>
      <w:pPr>
        <w:pStyle w:val="Notedebasdepage"/>
      </w:pPr>
      <w:r>
        <w:rPr>
          <w:rStyle w:val="Appelnotedebasdep"/>
        </w:rPr>
        <w:footnoteRef/>
        <w:t xml:space="preserve"> </w:t>
      </w:r>
      <w:r>
        <w:rPr>
          <w:i/>
        </w:rPr>
        <w:t xml:space="preserve">Lévit.</w:t>
      </w:r>
      <w:r>
        <w:rPr/>
        <w:t xml:space="preserve">, XXIV, 14 et suiv. ; </w:t>
      </w:r>
      <w:r>
        <w:rPr>
          <w:i/>
        </w:rPr>
        <w:t xml:space="preserve">Deutér.</w:t>
      </w:r>
      <w:r>
        <w:rPr/>
        <w:t xml:space="preserve">, XIII, 1 et suiv.</w:t>
      </w:r>
    </w:p>
  </w:footnote>
  <w:footnote w:id="1111">
    <w:p>
      <w:pPr>
        <w:pStyle w:val="Notedebasdepage"/>
      </w:pPr>
      <w:r>
        <w:rPr>
          <w:rStyle w:val="Appelnotedebasdep"/>
        </w:rPr>
        <w:footnoteRef/>
        <w:t xml:space="preserve"> </w:t>
      </w:r>
      <w:r>
        <w:rPr/>
        <w:t xml:space="preserve">Luc, XXIII, 50-51.</w:t>
      </w:r>
    </w:p>
  </w:footnote>
  <w:footnote w:id="1112">
    <w:p>
      <w:pPr>
        <w:pStyle w:val="Notedebasdepage"/>
      </w:pPr>
      <w:r>
        <w:rPr>
          <w:rStyle w:val="Appelnotedebasdep"/>
        </w:rPr>
        <w:footnoteRef/>
        <w:t xml:space="preserve"> </w:t>
      </w:r>
      <w:r>
        <w:rPr/>
        <w:t xml:space="preserve"> Jean, XVIII, 31 ; Jos., </w:t>
      </w:r>
      <w:r>
        <w:rPr>
          <w:i/>
        </w:rPr>
        <w:t xml:space="preserve">Ant</w:t>
      </w:r>
      <w:r>
        <w:rPr/>
        <w:t xml:space="preserve">., XX, IX, 1.</w:t>
      </w:r>
    </w:p>
  </w:footnote>
  <w:footnote w:id="1113">
    <w:p>
      <w:pPr>
        <w:pStyle w:val="Notedebasdepage"/>
      </w:pPr>
      <w:r>
        <w:rPr>
          <w:rStyle w:val="Appelnotedebasdep"/>
        </w:rPr>
        <w:footnoteRef/>
        <w:t xml:space="preserve"> </w:t>
      </w:r>
      <w:r>
        <w:rPr/>
        <w:t xml:space="preserve">Matth., XXVI, 67-68 ; Marc, XIV, 65 ; Luc, XXII, 63-65.</w:t>
      </w:r>
    </w:p>
  </w:footnote>
  <w:footnote w:id="1114">
    <w:p>
      <w:pPr>
        <w:pStyle w:val="Notedebasdepage"/>
      </w:pPr>
      <w:r>
        <w:rPr>
          <w:rStyle w:val="Appelnotedebasdep"/>
        </w:rPr>
        <w:footnoteRef/>
        <w:t xml:space="preserve"> </w:t>
      </w:r>
      <w:r>
        <w:rPr/>
        <w:t xml:space="preserve">Matth., XXVII, 1 ; Marc, XV, 1 ; Luc, XXII, 66 ; XXIII, 1 ; Jean, XVIII, 28.</w:t>
      </w:r>
    </w:p>
  </w:footnote>
  <w:footnote w:id="1115">
    <w:p>
      <w:pPr>
        <w:pStyle w:val="Notedebasdepage"/>
      </w:pPr>
      <w:r>
        <w:rPr>
          <w:rStyle w:val="Appelnotedebasdep"/>
        </w:rPr>
        <w:footnoteRef/>
        <w:t xml:space="preserve"> </w:t>
      </w:r>
      <w:r>
        <w:rPr/>
        <w:t xml:space="preserve"> Jos., </w:t>
      </w:r>
      <w:r>
        <w:rPr>
          <w:i/>
        </w:rPr>
        <w:t xml:space="preserve">Ant.</w:t>
      </w:r>
      <w:r>
        <w:rPr/>
        <w:t xml:space="preserve">, XV, XI, 5 ; </w:t>
      </w:r>
      <w:r>
        <w:rPr>
          <w:i/>
        </w:rPr>
        <w:t xml:space="preserve">B.J.</w:t>
      </w:r>
      <w:r>
        <w:rPr/>
        <w:t xml:space="preserve">, VI, II, 4.</w:t>
      </w:r>
    </w:p>
  </w:footnote>
  <w:footnote w:id="1116">
    <w:p>
      <w:pPr>
        <w:pStyle w:val="Notedebasdepage"/>
      </w:pPr>
      <w:r>
        <w:rPr>
          <w:rStyle w:val="Appelnotedebasdep"/>
        </w:rPr>
        <w:footnoteRef/>
        <w:t xml:space="preserve"> </w:t>
      </w:r>
      <w:r>
        <w:rPr/>
        <w:t xml:space="preserve"> Philon, </w:t>
      </w:r>
      <w:r>
        <w:rPr>
          <w:i/>
        </w:rPr>
        <w:t xml:space="preserve">Legatio ad Caïum</w:t>
      </w:r>
      <w:r>
        <w:rPr/>
        <w:t xml:space="preserve">, § 38. Jos., </w:t>
      </w:r>
      <w:r>
        <w:rPr>
          <w:i/>
        </w:rPr>
        <w:t xml:space="preserve">B.J.</w:t>
      </w:r>
      <w:r>
        <w:rPr/>
        <w:t xml:space="preserve">, II, XIV, 8.</w:t>
      </w:r>
    </w:p>
  </w:footnote>
  <w:footnote w:id="1117">
    <w:p>
      <w:pPr>
        <w:pStyle w:val="Notedebasdepage"/>
      </w:pPr>
      <w:r>
        <w:rPr>
          <w:rStyle w:val="Appelnotedebasdep"/>
        </w:rPr>
        <w:footnoteRef/>
        <w:t xml:space="preserve"> </w:t>
      </w:r>
      <w:r>
        <w:rPr/>
        <w:t xml:space="preserve">A l’endroit où est encore aujourd’hui le sérail du pacha de Jérusalem.</w:t>
      </w:r>
    </w:p>
  </w:footnote>
  <w:footnote w:id="1118">
    <w:p>
      <w:pPr>
        <w:pStyle w:val="Notedebasdepage"/>
      </w:pPr>
      <w:r>
        <w:rPr>
          <w:rStyle w:val="Appelnotedebasdep"/>
        </w:rPr>
        <w:footnoteRef/>
        <w:t xml:space="preserve"> </w:t>
      </w:r>
      <w:r>
        <w:rPr/>
        <w:t xml:space="preserve">Jean, XVIII, 28.</w:t>
      </w:r>
    </w:p>
  </w:footnote>
  <w:footnote w:id="1119">
    <w:p>
      <w:pPr>
        <w:pStyle w:val="Notedebasdepage"/>
      </w:pPr>
      <w:r>
        <w:rPr>
          <w:rStyle w:val="Appelnotedebasdep"/>
        </w:rPr>
        <w:footnoteRef/>
        <w:t xml:space="preserve"> </w:t>
      </w:r>
      <w:r>
        <w:rPr/>
        <w:t xml:space="preserve"> Le mot grec [Greek : bêma] était passé en syro-chaldaïque.</w:t>
      </w:r>
    </w:p>
  </w:footnote>
  <w:footnote w:id="1120">
    <w:p>
      <w:pPr>
        <w:pStyle w:val="Notedebasdepage"/>
      </w:pPr>
      <w:r>
        <w:rPr>
          <w:rStyle w:val="Appelnotedebasdep"/>
        </w:rPr>
        <w:footnoteRef/>
        <w:t xml:space="preserve"> </w:t>
      </w:r>
      <w:r>
        <w:rPr/>
        <w:t xml:space="preserve"> Jos., </w:t>
      </w:r>
      <w:r>
        <w:rPr>
          <w:i/>
        </w:rPr>
        <w:t xml:space="preserve">B.J.</w:t>
      </w:r>
      <w:r>
        <w:rPr/>
        <w:t xml:space="preserve">, II, IX, 3 ; XIV, 8 ; Matth., XXVII, 27 ; Jean, XVIII, 33.</w:t>
      </w:r>
    </w:p>
  </w:footnote>
  <w:footnote w:id="1121">
    <w:p>
      <w:pPr>
        <w:pStyle w:val="Notedebasdepage"/>
      </w:pPr>
      <w:r>
        <w:rPr>
          <w:rStyle w:val="Appelnotedebasdep"/>
        </w:rPr>
        <w:footnoteRef/>
        <w:t xml:space="preserve"> </w:t>
      </w:r>
      <w:r>
        <w:rPr/>
        <w:t xml:space="preserve">Jean, XVIII, 29.</w:t>
      </w:r>
    </w:p>
  </w:footnote>
  <w:footnote w:id="1122">
    <w:p>
      <w:pPr>
        <w:pStyle w:val="Notedebasdepage"/>
      </w:pPr>
      <w:r>
        <w:rPr>
          <w:rStyle w:val="Appelnotedebasdep"/>
        </w:rPr>
        <w:footnoteRef/>
        <w:t xml:space="preserve"> </w:t>
      </w:r>
      <w:r>
        <w:rPr/>
        <w:t xml:space="preserve"> Virg., </w:t>
      </w:r>
      <w:r>
        <w:rPr>
          <w:i/>
        </w:rPr>
        <w:t xml:space="preserve">Æn</w:t>
      </w:r>
      <w:r>
        <w:rPr/>
        <w:t xml:space="preserve">., XII, 421 ; Martial, </w:t>
      </w:r>
      <w:r>
        <w:rPr>
          <w:i/>
        </w:rPr>
        <w:t xml:space="preserve">Épigr</w:t>
      </w:r>
      <w:r>
        <w:rPr/>
        <w:t xml:space="preserve">., I, XXXII ; X, XLVIII ; Plutarque, </w:t>
      </w:r>
      <w:r>
        <w:rPr>
          <w:i/>
        </w:rPr>
        <w:t xml:space="preserve">Vie de Romulus</w:t>
      </w:r>
      <w:r>
        <w:rPr/>
        <w:t xml:space="preserve">, 29. Comparez la </w:t>
      </w:r>
      <w:r>
        <w:rPr>
          <w:i/>
        </w:rPr>
        <w:t xml:space="preserve">hasta pura</w:t>
      </w:r>
      <w:r>
        <w:rPr/>
        <w:t xml:space="preserve">, décoration militaire. Orelli et Henzen, </w:t>
      </w:r>
      <w:r>
        <w:rPr>
          <w:i/>
        </w:rPr>
        <w:t xml:space="preserve">Inscr. lat</w:t>
      </w:r>
      <w:r>
        <w:rPr/>
        <w:t xml:space="preserve">., n</w:t>
      </w:r>
      <w:r>
        <w:rPr>
          <w:vertAlign w:val="superscript"/>
        </w:rPr>
        <w:t>os</w:t>
      </w:r>
      <w:r>
        <w:rPr/>
        <w:t xml:space="preserve"> 3574, 6852, etc. </w:t>
      </w:r>
      <w:r>
        <w:rPr>
          <w:i/>
        </w:rPr>
        <w:t xml:space="preserve">Pilatus</w:t>
      </w:r>
      <w:r>
        <w:rPr/>
        <w:t xml:space="preserve"> est, dans cette hypothèse, un mot de la même forme que </w:t>
      </w:r>
      <w:r>
        <w:rPr>
          <w:i/>
        </w:rPr>
        <w:t xml:space="preserve">Torquatus</w:t>
      </w:r>
      <w:r>
        <w:rPr/>
        <w:t xml:space="preserve">.</w:t>
      </w:r>
    </w:p>
  </w:footnote>
  <w:footnote w:id="1123">
    <w:p>
      <w:pPr>
        <w:pStyle w:val="Notedebasdepage"/>
      </w:pPr>
      <w:r>
        <w:rPr>
          <w:rStyle w:val="Appelnotedebasdep"/>
        </w:rPr>
        <w:footnoteRef/>
        <w:t xml:space="preserve"> </w:t>
      </w:r>
      <w:r>
        <w:rPr/>
        <w:t xml:space="preserve"> Philon, </w:t>
      </w:r>
      <w:r>
        <w:rPr>
          <w:i/>
        </w:rPr>
        <w:t xml:space="preserve">Leg. ad Caïum</w:t>
      </w:r>
      <w:r>
        <w:rPr/>
        <w:t xml:space="preserve">, § 38.</w:t>
      </w:r>
    </w:p>
  </w:footnote>
  <w:footnote w:id="1124">
    <w:p>
      <w:pPr>
        <w:pStyle w:val="Notedebasdepage"/>
      </w:pPr>
      <w:r>
        <w:rPr>
          <w:rStyle w:val="Appelnotedebasdep"/>
        </w:rPr>
        <w:footnoteRef/>
        <w:t xml:space="preserve"> </w:t>
      </w:r>
      <w:r>
        <w:rPr/>
        <w:t xml:space="preserve"> Jos., </w:t>
      </w:r>
      <w:r>
        <w:rPr>
          <w:i/>
        </w:rPr>
        <w:t xml:space="preserve">Ant</w:t>
      </w:r>
      <w:r>
        <w:rPr/>
        <w:t xml:space="preserve">., XVIII, </w:t>
      </w:r>
      <w:r>
        <w:rPr/>
        <w:t xml:space="preserve">iii</w:t>
      </w:r>
      <w:r>
        <w:rPr/>
        <w:t xml:space="preserve">, 1, init.</w:t>
      </w:r>
    </w:p>
  </w:footnote>
  <w:footnote w:id="1125">
    <w:p>
      <w:pPr>
        <w:pStyle w:val="Notedebasdepage"/>
      </w:pPr>
      <w:r>
        <w:rPr>
          <w:rStyle w:val="Appelnotedebasdep"/>
        </w:rPr>
        <w:footnoteRef/>
        <w:t xml:space="preserve"> </w:t>
      </w:r>
      <w:r>
        <w:rPr/>
        <w:t xml:space="preserve"> Jos., </w:t>
      </w:r>
      <w:r>
        <w:rPr>
          <w:i/>
        </w:rPr>
        <w:t xml:space="preserve">Ant</w:t>
      </w:r>
      <w:r>
        <w:rPr/>
        <w:t xml:space="preserve">., XVIII, </w:t>
      </w:r>
      <w:r>
        <w:rPr/>
        <w:t xml:space="preserve">ii-iv</w:t>
      </w:r>
      <w:r>
        <w:rPr/>
        <w:t xml:space="preserve">.</w:t>
      </w:r>
    </w:p>
  </w:footnote>
  <w:footnote w:id="1126">
    <w:p>
      <w:pPr>
        <w:pStyle w:val="Notedebasdepage"/>
      </w:pPr>
      <w:r>
        <w:rPr>
          <w:rStyle w:val="Appelnotedebasdep"/>
        </w:rPr>
        <w:footnoteRef/>
        <w:t xml:space="preserve"> </w:t>
      </w:r>
      <w:r>
        <w:rPr/>
        <w:t xml:space="preserve"> Talm. de Bab., </w:t>
      </w:r>
      <w:r>
        <w:rPr>
          <w:i/>
        </w:rPr>
        <w:t xml:space="preserve">Schabbalh</w:t>
      </w:r>
      <w:r>
        <w:rPr/>
        <w:t xml:space="preserve">, 33 </w:t>
      </w:r>
      <w:r>
        <w:rPr>
          <w:i/>
        </w:rPr>
        <w:t xml:space="preserve">b</w:t>
      </w:r>
      <w:r>
        <w:rPr/>
        <w:t xml:space="preserve">.</w:t>
      </w:r>
    </w:p>
  </w:footnote>
  <w:footnote w:id="1127">
    <w:p>
      <w:pPr>
        <w:pStyle w:val="Notedebasdepage"/>
      </w:pPr>
      <w:r>
        <w:rPr>
          <w:rStyle w:val="Appelnotedebasdep"/>
        </w:rPr>
        <w:footnoteRef/>
        <w:t xml:space="preserve"> </w:t>
      </w:r>
      <w:r>
        <w:rPr/>
        <w:t xml:space="preserve"> Philon, </w:t>
      </w:r>
      <w:r>
        <w:rPr>
          <w:i/>
        </w:rPr>
        <w:t xml:space="preserve">Leg. ad Caïum</w:t>
      </w:r>
      <w:r>
        <w:rPr/>
        <w:t xml:space="preserve">, § 38.</w:t>
      </w:r>
    </w:p>
  </w:footnote>
  <w:footnote w:id="1128">
    <w:p>
      <w:pPr>
        <w:pStyle w:val="Notedebasdepage"/>
      </w:pPr>
      <w:r>
        <w:rPr>
          <w:rStyle w:val="Appelnotedebasdep"/>
        </w:rPr>
        <w:footnoteRef/>
        <w:t xml:space="preserve"> </w:t>
      </w:r>
      <w:r>
        <w:rPr/>
        <w:t xml:space="preserve"> Jos., </w:t>
      </w:r>
      <w:r>
        <w:rPr>
          <w:i/>
        </w:rPr>
        <w:t xml:space="preserve">Ant</w:t>
      </w:r>
      <w:r>
        <w:rPr/>
        <w:t xml:space="preserve">, XVIII, </w:t>
      </w:r>
      <w:r>
        <w:rPr/>
        <w:t xml:space="preserve">iii</w:t>
      </w:r>
      <w:r>
        <w:rPr/>
        <w:t xml:space="preserve">, 1 et 2 ; </w:t>
      </w:r>
      <w:r>
        <w:rPr>
          <w:i/>
        </w:rPr>
        <w:t xml:space="preserve">Bell. Jud</w:t>
      </w:r>
      <w:r>
        <w:rPr/>
        <w:t xml:space="preserve">., II, </w:t>
      </w:r>
      <w:r>
        <w:rPr/>
        <w:t xml:space="preserve">ix</w:t>
      </w:r>
      <w:r>
        <w:rPr/>
        <w:t xml:space="preserve">, 2 et suiv. ; Luc, XIII, 1.</w:t>
      </w:r>
    </w:p>
  </w:footnote>
  <w:footnote w:id="1129">
    <w:p>
      <w:pPr>
        <w:pStyle w:val="Notedebasdepage"/>
      </w:pPr>
      <w:r>
        <w:rPr>
          <w:rStyle w:val="Appelnotedebasdep"/>
        </w:rPr>
        <w:footnoteRef/>
        <w:t xml:space="preserve"> </w:t>
      </w:r>
      <w:r>
        <w:rPr/>
        <w:t xml:space="preserve"> Jos., </w:t>
      </w:r>
      <w:r>
        <w:rPr>
          <w:i/>
        </w:rPr>
        <w:t xml:space="preserve">Ant.</w:t>
      </w:r>
      <w:r>
        <w:rPr/>
        <w:t xml:space="preserve"> XVIII, </w:t>
      </w:r>
      <w:r>
        <w:rPr/>
        <w:t xml:space="preserve">iv</w:t>
      </w:r>
      <w:r>
        <w:rPr/>
        <w:t xml:space="preserve">, 1-2.</w:t>
      </w:r>
    </w:p>
  </w:footnote>
  <w:footnote w:id="1130">
    <w:p>
      <w:pPr>
        <w:pStyle w:val="Notedebasdepage"/>
      </w:pPr>
      <w:r>
        <w:rPr>
          <w:rStyle w:val="Appelnotedebasdep"/>
        </w:rPr>
        <w:footnoteRef/>
        <w:t xml:space="preserve"> </w:t>
      </w:r>
      <w:r>
        <w:rPr/>
        <w:t xml:space="preserve">Jean, XVIII, 35.</w:t>
      </w:r>
    </w:p>
  </w:footnote>
  <w:footnote w:id="1131">
    <w:p>
      <w:pPr>
        <w:pStyle w:val="Notedebasdepage"/>
      </w:pPr>
      <w:r>
        <w:rPr>
          <w:rStyle w:val="Appelnotedebasdep"/>
        </w:rPr>
        <w:footnoteRef/>
        <w:t xml:space="preserve"> </w:t>
      </w:r>
      <w:r>
        <w:rPr/>
        <w:t xml:space="preserve">Matth., XXVII, 19.</w:t>
      </w:r>
    </w:p>
  </w:footnote>
  <w:footnote w:id="1132">
    <w:p>
      <w:pPr>
        <w:pStyle w:val="Notedebasdepage"/>
      </w:pPr>
      <w:r>
        <w:rPr>
          <w:rStyle w:val="Appelnotedebasdep"/>
        </w:rPr>
        <w:footnoteRef/>
        <w:t xml:space="preserve"> </w:t>
      </w:r>
      <w:r>
        <w:rPr/>
        <w:t xml:space="preserve">Luc, XXIII, 2, 5.</w:t>
      </w:r>
    </w:p>
  </w:footnote>
  <w:footnote w:id="1133">
    <w:p>
      <w:pPr>
        <w:pStyle w:val="Notedebasdepage"/>
      </w:pPr>
      <w:r>
        <w:rPr>
          <w:rStyle w:val="Appelnotedebasdep"/>
        </w:rPr>
        <w:footnoteRef/>
        <w:t xml:space="preserve"> </w:t>
      </w:r>
      <w:r>
        <w:rPr/>
        <w:t xml:space="preserve">Matth., XXVII, 11 ; Marc, XV, 2 ; Luc, XXIII, 3 ; Jean, XVIII, 33.</w:t>
      </w:r>
    </w:p>
  </w:footnote>
  <w:footnote w:id="1134">
    <w:p>
      <w:pPr>
        <w:pStyle w:val="Notedebasdepage"/>
      </w:pPr>
      <w:r>
        <w:rPr>
          <w:rStyle w:val="Appelnotedebasdep"/>
        </w:rPr>
        <w:footnoteRef/>
        <w:t xml:space="preserve"> </w:t>
      </w:r>
      <w:r>
        <w:rPr/>
        <w:t xml:space="preserve">Jean, XVIII, 38.</w:t>
      </w:r>
    </w:p>
  </w:footnote>
  <w:footnote w:id="1135">
    <w:p>
      <w:pPr>
        <w:pStyle w:val="Notedebasdepage"/>
      </w:pPr>
      <w:r>
        <w:rPr>
          <w:rStyle w:val="Appelnotedebasdep"/>
        </w:rPr>
        <w:footnoteRef/>
        <w:t xml:space="preserve"> </w:t>
      </w:r>
      <w:r>
        <w:rPr>
          <w:i/>
        </w:rPr>
        <w:t xml:space="preserve">Act.</w:t>
      </w:r>
      <w:r>
        <w:rPr/>
        <w:t xml:space="preserve">, XVIII, 14-15.</w:t>
      </w:r>
    </w:p>
  </w:footnote>
  <w:footnote w:id="1136">
    <w:p>
      <w:pPr>
        <w:pStyle w:val="Notedebasdepage"/>
      </w:pPr>
      <w:r>
        <w:rPr>
          <w:rStyle w:val="Appelnotedebasdep"/>
        </w:rPr>
        <w:footnoteRef/>
        <w:t xml:space="preserve"> </w:t>
      </w:r>
      <w:r>
        <w:rPr/>
        <w:t xml:space="preserve"> Tacite (</w:t>
      </w:r>
      <w:r>
        <w:rPr>
          <w:i/>
        </w:rPr>
        <w:t xml:space="preserve">Ann.</w:t>
      </w:r>
      <w:r>
        <w:rPr/>
        <w:t xml:space="preserve">, XV, 44) présente la mort de Jésus comme une exécution politique de Ponce Pilate. Mais, à l’époque où écrivai Tacite, la politique romaine envers les chrétiens était changée ; on les tenait pour coupables de ligue secrète contre l’État. Il était naturel que l’historien latin crût que Pilate, en faisant mourir Jésus, avait obéi à des raisons de sûreté publique. Josèphe est bien plus exact (</w:t>
      </w:r>
      <w:r>
        <w:rPr>
          <w:i/>
        </w:rPr>
        <w:t xml:space="preserve">Ant.</w:t>
      </w:r>
      <w:r>
        <w:rPr/>
        <w:t xml:space="preserve">, XVIII, </w:t>
      </w:r>
      <w:r>
        <w:rPr/>
        <w:t xml:space="preserve">iii</w:t>
      </w:r>
      <w:r>
        <w:rPr/>
        <w:t xml:space="preserve">, 3).</w:t>
      </w:r>
    </w:p>
  </w:footnote>
  <w:footnote w:id="1137">
    <w:p>
      <w:pPr>
        <w:pStyle w:val="Notedebasdepage"/>
      </w:pPr>
      <w:r>
        <w:rPr>
          <w:rStyle w:val="Appelnotedebasdep"/>
        </w:rPr>
        <w:footnoteRef/>
        <w:t xml:space="preserve"> </w:t>
      </w:r>
      <w:r>
        <w:rPr/>
        <w:t xml:space="preserve">Marc, XV, 10.</w:t>
      </w:r>
    </w:p>
  </w:footnote>
  <w:footnote w:id="1138">
    <w:p>
      <w:pPr>
        <w:pStyle w:val="Notedebasdepage"/>
      </w:pPr>
      <w:r>
        <w:rPr>
          <w:rStyle w:val="Appelnotedebasdep"/>
        </w:rPr>
        <w:footnoteRef/>
        <w:t xml:space="preserve"> </w:t>
      </w:r>
      <w:r>
        <w:rPr/>
        <w:t xml:space="preserve">Matth., XXVII, 20 ; Marc, XV, 11.</w:t>
      </w:r>
    </w:p>
  </w:footnote>
  <w:footnote w:id="1139">
    <w:p>
      <w:pPr>
        <w:pStyle w:val="Notedebasdepage"/>
      </w:pPr>
      <w:r>
        <w:rPr>
          <w:rStyle w:val="Appelnotedebasdep"/>
        </w:rPr>
        <w:footnoteRef/>
        <w:t xml:space="preserve"> </w:t>
      </w:r>
      <w:r>
        <w:rPr/>
        <w:t xml:space="preserve">Le nom de Jésus a disparu dans la plupart des manuscrits. Cette leçon a néanmoins pour elle de très-fortes autorités.</w:t>
      </w:r>
    </w:p>
  </w:footnote>
  <w:footnote w:id="1140">
    <w:p>
      <w:pPr>
        <w:pStyle w:val="Notedebasdepage"/>
      </w:pPr>
      <w:r>
        <w:rPr>
          <w:rStyle w:val="Appelnotedebasdep"/>
        </w:rPr>
        <w:footnoteRef/>
        <w:t xml:space="preserve"> </w:t>
      </w:r>
      <w:r>
        <w:rPr/>
        <w:t xml:space="preserve">Matth., XXVII, 16.</w:t>
      </w:r>
    </w:p>
  </w:footnote>
  <w:footnote w:id="1141">
    <w:p>
      <w:pPr>
        <w:pStyle w:val="Notedebasdepage"/>
      </w:pPr>
      <w:r>
        <w:rPr>
          <w:rStyle w:val="Appelnotedebasdep"/>
        </w:rPr>
        <w:footnoteRef/>
        <w:t xml:space="preserve"> </w:t>
      </w:r>
      <w:r>
        <w:rPr/>
        <w:t xml:space="preserve">Cf. saint Jérôme, in Matth., XXVII, 16.</w:t>
      </w:r>
    </w:p>
  </w:footnote>
  <w:footnote w:id="1142">
    <w:p>
      <w:pPr>
        <w:pStyle w:val="Notedebasdepage"/>
      </w:pPr>
      <w:r>
        <w:rPr>
          <w:rStyle w:val="Appelnotedebasdep"/>
        </w:rPr>
        <w:footnoteRef/>
        <w:t xml:space="preserve"> </w:t>
      </w:r>
      <w:r>
        <w:rPr/>
        <w:t xml:space="preserve">Marc, XV, 7 ; Luc, XXIII, 19. Jean (XVIII, 40), qui en fait un voleur, paraît ici beaucoup moins dans le vrai que Marc.</w:t>
      </w:r>
    </w:p>
  </w:footnote>
  <w:footnote w:id="1143">
    <w:p>
      <w:pPr>
        <w:pStyle w:val="Notedebasdepage"/>
      </w:pPr>
      <w:r>
        <w:rPr>
          <w:rStyle w:val="Appelnotedebasdep"/>
        </w:rPr>
        <w:footnoteRef/>
        <w:t xml:space="preserve"> </w:t>
      </w:r>
      <w:r>
        <w:rPr/>
        <w:t xml:space="preserve">Matth., XXVII, 26 ; Marc, XV, 45 ; Jean, XIX, 1.</w:t>
      </w:r>
    </w:p>
  </w:footnote>
  <w:footnote w:id="1144">
    <w:p>
      <w:pPr>
        <w:pStyle w:val="Notedebasdepage"/>
      </w:pPr>
      <w:r>
        <w:rPr>
          <w:rStyle w:val="Appelnotedebasdep"/>
        </w:rPr>
        <w:footnoteRef/>
        <w:t xml:space="preserve"> </w:t>
      </w:r>
      <w:r>
        <w:rPr/>
        <w:t xml:space="preserve"> Jos., </w:t>
      </w:r>
      <w:r>
        <w:rPr>
          <w:i/>
        </w:rPr>
        <w:t xml:space="preserve">B. J</w:t>
      </w:r>
      <w:r>
        <w:rPr/>
        <w:t xml:space="preserve">., II, XIV, 9 ; V, XI, 4 ; VII, VI, 4 ; Tite-Live, XXXIII, 36 ; Quinte-Curce, VII, XI, 28.</w:t>
      </w:r>
    </w:p>
  </w:footnote>
  <w:footnote w:id="1145">
    <w:p>
      <w:pPr>
        <w:pStyle w:val="Notedebasdepage"/>
      </w:pPr>
      <w:r>
        <w:rPr>
          <w:rStyle w:val="Appelnotedebasdep"/>
        </w:rPr>
        <w:footnoteRef/>
        <w:t xml:space="preserve"> </w:t>
      </w:r>
      <w:r>
        <w:rPr/>
        <w:t xml:space="preserve">Matth., XXVII, 27 et suiv. ; Marc, XV, 16 et suiv. ; Luc, XXIII, 11 ; Jean, XIX, 2 et suiv.</w:t>
      </w:r>
    </w:p>
  </w:footnote>
  <w:footnote w:id="1146">
    <w:p>
      <w:pPr>
        <w:pStyle w:val="Notedebasdepage"/>
      </w:pPr>
      <w:r>
        <w:rPr>
          <w:rStyle w:val="Appelnotedebasdep"/>
        </w:rPr>
        <w:footnoteRef/>
        <w:t xml:space="preserve"> </w:t>
      </w:r>
      <w:r>
        <w:rPr/>
        <w:t xml:space="preserve"> Voir </w:t>
      </w:r>
      <w:r>
        <w:rPr>
          <w:i/>
        </w:rPr>
        <w:t xml:space="preserve">Inscript, rom. de l’Algérie</w:t>
      </w:r>
      <w:r>
        <w:rPr/>
        <w:t xml:space="preserve">, n° 5, fragm. B.</w:t>
      </w:r>
    </w:p>
  </w:footnote>
  <w:footnote w:id="1147">
    <w:p>
      <w:pPr>
        <w:pStyle w:val="Notedebasdepage"/>
      </w:pPr>
      <w:r>
        <w:rPr>
          <w:rStyle w:val="Appelnotedebasdep"/>
        </w:rPr>
        <w:footnoteRef/>
        <w:t xml:space="preserve"> </w:t>
      </w:r>
      <w:r>
        <w:rPr/>
        <w:t xml:space="preserve">Luc, XXIII, 16, 22.</w:t>
      </w:r>
    </w:p>
  </w:footnote>
  <w:footnote w:id="1148">
    <w:p>
      <w:pPr>
        <w:pStyle w:val="Notedebasdepage"/>
      </w:pPr>
      <w:r>
        <w:rPr>
          <w:rStyle w:val="Appelnotedebasdep"/>
        </w:rPr>
        <w:footnoteRef/>
        <w:t xml:space="preserve"> </w:t>
      </w:r>
      <w:r>
        <w:rPr/>
        <w:t xml:space="preserve">Jean, XIX, 7.</w:t>
      </w:r>
    </w:p>
  </w:footnote>
  <w:footnote w:id="1149">
    <w:p>
      <w:pPr>
        <w:pStyle w:val="Notedebasdepage"/>
      </w:pPr>
      <w:r>
        <w:rPr>
          <w:rStyle w:val="Appelnotedebasdep"/>
        </w:rPr>
        <w:footnoteRef/>
        <w:t xml:space="preserve"> </w:t>
      </w:r>
      <w:r>
        <w:rPr/>
        <w:t xml:space="preserve">Jean, XIX, 9. Cf. Luc, XXIII, 6 et suiv.</w:t>
      </w:r>
    </w:p>
  </w:footnote>
  <w:footnote w:id="1150">
    <w:p>
      <w:pPr>
        <w:pStyle w:val="Notedebasdepage"/>
      </w:pPr>
      <w:r>
        <w:rPr>
          <w:rStyle w:val="Appelnotedebasdep"/>
        </w:rPr>
        <w:footnoteRef/>
        <w:t xml:space="preserve"> </w:t>
      </w:r>
      <w:r>
        <w:rPr/>
        <w:t xml:space="preserve">Il est probable que c’est là une première tentative d’« Harmonie des Évangiles. » Luc aura eu sous les yeux un récit où la mort de Jésus était attribuée par erreur à Hérode. Pour ne pas sacrifier entièrement cette version, il aura mis bout à bout les deux traditions, d’autant plus qu’il savait peut-être vaguement que Jésus (comme Jean nous l’apprend) comparut devant trois autorités. Dans beaucoup d’autres cas, Luc semble avoir un sentiment éloigné des faits qui sont propres à la narration de Jean. Du reste, le troisième évangile renferme, pour l’histoire du crucifiement, une série d’additions que l’auteur paraît avoir puisées dans un document plus récent, et où l’arrangement en vue d’un but d’édification était sensible.</w:t>
      </w:r>
    </w:p>
  </w:footnote>
  <w:footnote w:id="1151">
    <w:p>
      <w:pPr>
        <w:pStyle w:val="Notedebasdepage"/>
      </w:pPr>
      <w:r>
        <w:rPr>
          <w:rStyle w:val="Appelnotedebasdep"/>
        </w:rPr>
        <w:footnoteRef/>
        <w:t xml:space="preserve"> </w:t>
      </w:r>
      <w:r>
        <w:rPr/>
        <w:t xml:space="preserve"> Jean, XIX, 12, 15. Cf. Luc, XXIII, 2. Pour apprécier l’exactitude de la couleur de cette scène chez les évangélistes, voyez Philon, </w:t>
      </w:r>
      <w:r>
        <w:rPr>
          <w:i/>
        </w:rPr>
        <w:t xml:space="preserve">Leg. ad Caïum</w:t>
      </w:r>
      <w:r>
        <w:rPr/>
        <w:t xml:space="preserve">, § 38.</w:t>
      </w:r>
    </w:p>
  </w:footnote>
  <w:footnote w:id="1152">
    <w:p>
      <w:pPr>
        <w:pStyle w:val="Notedebasdepage"/>
      </w:pPr>
      <w:r>
        <w:rPr>
          <w:rStyle w:val="Appelnotedebasdep"/>
        </w:rPr>
        <w:footnoteRef/>
        <w:t xml:space="preserve"> </w:t>
      </w:r>
      <w:r>
        <w:rPr/>
        <w:t xml:space="preserve">Voir ci-dessus, p. 402.</w:t>
      </w:r>
    </w:p>
  </w:footnote>
  <w:footnote w:id="1153">
    <w:p>
      <w:pPr>
        <w:pStyle w:val="Notedebasdepage"/>
      </w:pPr>
      <w:r>
        <w:rPr>
          <w:rStyle w:val="Appelnotedebasdep"/>
        </w:rPr>
        <w:footnoteRef/>
        <w:t xml:space="preserve"> </w:t>
      </w:r>
      <w:r>
        <w:rPr/>
        <w:t xml:space="preserve">Matth., XXVII, 24-25.</w:t>
      </w:r>
    </w:p>
  </w:footnote>
  <w:footnote w:id="1154">
    <w:p>
      <w:pPr>
        <w:pStyle w:val="Notedebasdepage"/>
      </w:pPr>
      <w:r>
        <w:rPr>
          <w:rStyle w:val="Appelnotedebasdep"/>
        </w:rPr>
        <w:footnoteRef/>
        <w:t xml:space="preserve"> </w:t>
      </w:r>
      <w:r>
        <w:rPr/>
        <w:t xml:space="preserve">Jean, XIX, 7.</w:t>
      </w:r>
    </w:p>
  </w:footnote>
  <w:footnote w:id="1155">
    <w:p>
      <w:pPr>
        <w:pStyle w:val="Notedebasdepage"/>
      </w:pPr>
      <w:r>
        <w:rPr>
          <w:rStyle w:val="Appelnotedebasdep"/>
        </w:rPr>
        <w:footnoteRef/>
        <w:t xml:space="preserve"> </w:t>
      </w:r>
      <w:r>
        <w:rPr>
          <w:i/>
        </w:rPr>
        <w:t xml:space="preserve">Deutér.</w:t>
      </w:r>
      <w:r>
        <w:rPr/>
        <w:t xml:space="preserve">, XIII, 1 et suiv.</w:t>
      </w:r>
    </w:p>
  </w:footnote>
  <w:footnote w:id="1156">
    <w:p>
      <w:pPr>
        <w:pStyle w:val="Notedebasdepage"/>
      </w:pPr>
      <w:r>
        <w:rPr>
          <w:rStyle w:val="Appelnotedebasdep"/>
        </w:rPr>
        <w:footnoteRef/>
        <w:t xml:space="preserve"> </w:t>
      </w:r>
      <w:r>
        <w:rPr/>
        <w:t xml:space="preserve"> Jos., </w:t>
      </w:r>
      <w:r>
        <w:rPr>
          <w:i/>
        </w:rPr>
        <w:t xml:space="preserve">Ant.</w:t>
      </w:r>
      <w:r>
        <w:rPr/>
        <w:t xml:space="preserve">, XX, ix, 1. Le Talmud, qui présente la condamnation de Jésus comme toute religieuse, prétend, en effet, qu’il fut lapidé, ou du moins, qu’après avoir été pendu, il fut lapidé, comme cela arrivait souvent (Mischna, </w:t>
      </w:r>
      <w:r>
        <w:rPr>
          <w:i/>
        </w:rPr>
        <w:t xml:space="preserve">Sanhédrin</w:t>
      </w:r>
      <w:r>
        <w:rPr/>
        <w:t xml:space="preserve">, VI, 4). Talm. de Jérusalem, </w:t>
      </w:r>
      <w:r>
        <w:rPr>
          <w:i/>
        </w:rPr>
        <w:t xml:space="preserve">Sanhédrin</w:t>
      </w:r>
      <w:r>
        <w:rPr/>
        <w:t xml:space="preserve">, XIV, 16 ; Talm. de Bab., même traité, 43 </w:t>
      </w:r>
      <w:r>
        <w:rPr>
          <w:i/>
        </w:rPr>
        <w:t xml:space="preserve">a</w:t>
      </w:r>
      <w:r>
        <w:rPr/>
        <w:t xml:space="preserve">, 67 </w:t>
      </w:r>
      <w:r>
        <w:rPr>
          <w:i/>
        </w:rPr>
        <w:t xml:space="preserve">a</w:t>
      </w:r>
      <w:r>
        <w:rPr/>
        <w:t xml:space="preserve">.</w:t>
      </w:r>
    </w:p>
  </w:footnote>
  <w:footnote w:id="1157">
    <w:p>
      <w:pPr>
        <w:pStyle w:val="Notedebasdepage"/>
      </w:pPr>
      <w:r>
        <w:rPr>
          <w:rStyle w:val="Appelnotedebasdep"/>
        </w:rPr>
        <w:footnoteRef/>
        <w:t xml:space="preserve"> </w:t>
      </w:r>
      <w:r>
        <w:rPr/>
        <w:t xml:space="preserve"> Jos., </w:t>
      </w:r>
      <w:r>
        <w:rPr>
          <w:i/>
        </w:rPr>
        <w:t xml:space="preserve">Ant.</w:t>
      </w:r>
      <w:r>
        <w:rPr/>
        <w:t xml:space="preserve">, XVII, x, 10 ; XX, vi, 2 ; </w:t>
      </w:r>
      <w:r>
        <w:rPr>
          <w:i/>
        </w:rPr>
        <w:t xml:space="preserve">B.J.</w:t>
      </w:r>
      <w:r>
        <w:rPr/>
        <w:t xml:space="preserve">, V, xi, 1 ; Apulée, </w:t>
      </w:r>
      <w:r>
        <w:rPr>
          <w:i/>
        </w:rPr>
        <w:t xml:space="preserve">Métam.</w:t>
      </w:r>
      <w:r>
        <w:rPr/>
        <w:t xml:space="preserve">, III, 9 ; Suétone, </w:t>
      </w:r>
      <w:r>
        <w:rPr>
          <w:i/>
        </w:rPr>
        <w:t xml:space="preserve">Galba</w:t>
      </w:r>
      <w:r>
        <w:rPr/>
        <w:t xml:space="preserve">, 9 ; Lampride, </w:t>
      </w:r>
      <w:r>
        <w:rPr>
          <w:i/>
        </w:rPr>
        <w:t xml:space="preserve">Alex. Sev.</w:t>
      </w:r>
      <w:r>
        <w:rPr/>
        <w:t xml:space="preserve">, 23.</w:t>
      </w:r>
    </w:p>
  </w:footnote>
  <w:footnote w:id="1158">
    <w:p>
      <w:pPr>
        <w:pStyle w:val="Notedebasdepage"/>
      </w:pPr>
      <w:r>
        <w:rPr>
          <w:rStyle w:val="Appelnotedebasdep"/>
        </w:rPr>
        <w:footnoteRef/>
        <w:t xml:space="preserve"> </w:t>
      </w:r>
      <w:r>
        <w:rPr/>
        <w:t xml:space="preserve">Jean, XIX, 14. D’après Marc, XV, 23, il n’eût guère été que huit heures du matin, puisque, selon cet évangéliste, Jésus fût crucifié à neuf heures.</w:t>
      </w:r>
    </w:p>
  </w:footnote>
  <w:footnote w:id="1159">
    <w:p>
      <w:pPr>
        <w:pStyle w:val="Notedebasdepage"/>
      </w:pPr>
      <w:r>
        <w:rPr>
          <w:rStyle w:val="Appelnotedebasdep"/>
        </w:rPr>
        <w:footnoteRef/>
        <w:t xml:space="preserve"> </w:t>
      </w:r>
      <w:r>
        <w:rPr/>
        <w:t xml:space="preserve"> Matth., XXVII, 33 ; Marc, XV, 22 ; Jean, XIX, 20 ; </w:t>
      </w:r>
      <w:r>
        <w:rPr>
          <w:i/>
        </w:rPr>
        <w:t xml:space="preserve">Epist. ad Hebr</w:t>
      </w:r>
      <w:r>
        <w:rPr/>
        <w:t xml:space="preserve">., XIII, 12</w:t>
      </w:r>
    </w:p>
  </w:footnote>
  <w:footnote w:id="1160">
    <w:p>
      <w:pPr>
        <w:pStyle w:val="Notedebasdepage"/>
      </w:pPr>
      <w:r>
        <w:rPr>
          <w:rStyle w:val="Appelnotedebasdep"/>
        </w:rPr>
        <w:footnoteRef/>
        <w:t xml:space="preserve"> </w:t>
      </w:r>
      <w:r>
        <w:rPr>
          <w:i/>
        </w:rPr>
        <w:t xml:space="preserve">Golgotha</w:t>
      </w:r>
      <w:r>
        <w:rPr/>
        <w:t xml:space="preserve">, en effet, semble n’être pas sans rapport avec la colline de </w:t>
      </w:r>
      <w:r>
        <w:rPr>
          <w:i/>
        </w:rPr>
        <w:t xml:space="preserve">Gareb</w:t>
      </w:r>
      <w:r>
        <w:rPr/>
        <w:t xml:space="preserve"> et la localité de </w:t>
      </w:r>
      <w:r>
        <w:rPr>
          <w:i/>
        </w:rPr>
        <w:t xml:space="preserve">Goath</w:t>
      </w:r>
      <w:r>
        <w:rPr/>
        <w:t xml:space="preserve">, mentionnées dans Jérémie, XXXI, 39. Or, ces deux endroits paraissent avoir été au nord-ouest de la ville. J’inclinerais à placer le lieu où Jésus fut crucifié près de l’angle extrême que fait le mur actuel vers l’ouest, ou bien sur les buttes qui dominent la vallée de Hinnom, au-dessus de </w:t>
      </w:r>
      <w:r>
        <w:rPr>
          <w:i/>
        </w:rPr>
        <w:t xml:space="preserve">Birket-Mamilla</w:t>
      </w:r>
      <w:r>
        <w:rPr/>
        <w:t xml:space="preserve">.</w:t>
      </w:r>
    </w:p>
  </w:footnote>
  <w:footnote w:id="1161">
    <w:p>
      <w:pPr>
        <w:pStyle w:val="Notedebasdepage"/>
      </w:pPr>
      <w:r>
        <w:rPr>
          <w:rStyle w:val="Appelnotedebasdep"/>
        </w:rPr>
        <w:footnoteRef/>
        <w:t xml:space="preserve"> </w:t>
      </w:r>
      <w:r>
        <w:rPr/>
        <w:t xml:space="preserve">Les preuves par lesquelles on a essayé d’établir que le Saint Sépulcre a été déplacé depuis Constantin manquent de solidité.</w:t>
      </w:r>
    </w:p>
  </w:footnote>
  <w:footnote w:id="1162">
    <w:p>
      <w:pPr>
        <w:pStyle w:val="Notedebasdepage"/>
      </w:pPr>
      <w:r>
        <w:rPr>
          <w:rStyle w:val="Appelnotedebasdep"/>
        </w:rPr>
        <w:footnoteRef/>
        <w:t xml:space="preserve"> </w:t>
      </w:r>
      <w:r>
        <w:rPr/>
        <w:t xml:space="preserve"> M. de Vogüé a découvert, à 76 mètres à l’est de l’emplacement traditionnel du Calvaire, un pan de mur judaïque analogue à celui d’Hébron, qui, s’il appartient à l’enceinte du temps de Jésus, laisserait ledit emplacement traditionnel en dehors de la ville. L’existence d’un caveau sépulcral (celui qu’on appelle « Tombeau de Joseph d’Arimathie ») sous le mur de la coupole du Saint-Sépulcre porterait aussi à supposer que cet endroit était hors des murs. Deux considérations historiques, dont l’une est assez forte, peuvent d’ailleurs être invoquées en faveur de la tradition. La première, c’est qu’il serait singulier que ceux qui cherchèrent à fixer sous Constantin la topographie évangélique, ne se fussent pas arrêtés devant l’objection qui résulte de </w:t>
      </w:r>
      <w:r>
        <w:rPr>
          <w:i/>
        </w:rPr>
        <w:t xml:space="preserve">Jean</w:t>
      </w:r>
      <w:r>
        <w:rPr/>
        <w:t xml:space="preserve">, XIX, 20, et de </w:t>
      </w:r>
      <w:r>
        <w:rPr>
          <w:i/>
        </w:rPr>
        <w:t xml:space="preserve">Hébr.</w:t>
      </w:r>
      <w:r>
        <w:rPr/>
        <w:t xml:space="preserve">, XIII, 12. Comment, libres dans leur choix, se fussent-ils exposés de gaîté de cœur à une si grave difficulté ? La seconde considération, c’est qu’on pouvait avoir, pour se guider, du temps de Constantin, les restes d’un édifice, le temple de Vénus sur le Golgotha, élevé par Adrien. On est donc par moments porté à croire que l’œuvre des topographes dévots du temps de Constantin eut quelque chose de sérieux, qu’ils cherchèrent des indices et que, bien qu’ils ne se refusassent pas certaines fraudes pieuses, ils se guidèrent par des analogies. S’ils n’eussent suivi qu’un vain caprice, ils eussent placé le Golgotha à un endroit plus apparent, au sommet de quelqu’un des mamelons voisins de Jérusalem, pour suivre l’imagination chrétienne, qui de très-bonne heure voulut que la mort du Christ eût eu lieu sur une montagne. Mais la difficulté des enceintes est très-grave. Ajoutons que l’érection du temple de Vénus sur le Golgotha prouve peu de chose. Eusèbe (</w:t>
      </w:r>
      <w:r>
        <w:rPr>
          <w:i/>
        </w:rPr>
        <w:t xml:space="preserve">Vita Const.</w:t>
      </w:r>
      <w:r>
        <w:rPr/>
        <w:t xml:space="preserve">, III, 26), Socrate (</w:t>
      </w:r>
      <w:r>
        <w:rPr>
          <w:i/>
        </w:rPr>
        <w:t xml:space="preserve">H. E.</w:t>
      </w:r>
      <w:r>
        <w:rPr/>
        <w:t xml:space="preserve">, I, 17), Sozomène (</w:t>
      </w:r>
      <w:r>
        <w:rPr>
          <w:i/>
        </w:rPr>
        <w:t xml:space="preserve">H. E.</w:t>
      </w:r>
      <w:r>
        <w:rPr/>
        <w:t xml:space="preserve">, II, 1), S. Jérôme (</w:t>
      </w:r>
      <w:r>
        <w:rPr>
          <w:i/>
        </w:rPr>
        <w:t xml:space="preserve">Epist.</w:t>
      </w:r>
      <w:r>
        <w:rPr/>
        <w:t xml:space="preserve"> XLIX, ad Paulin.), disent bien qu’il y avait un sanctuaire de Vénus sur l’emplacement qu’ils croient être celui du saint tombeau ; mais il n’est pas sûr : 1° qu’Adrien l’ait élevé ; 2° qu’il l’ait élevé sur un endroit qui s’appelait de son temps « Golgotha » ; 3° qu’il ait eu l’intention de l’élever à la place où Jésus souffrit la mort.</w:t>
      </w:r>
    </w:p>
  </w:footnote>
  <w:footnote w:id="1163">
    <w:p>
      <w:pPr>
        <w:pStyle w:val="Notedebasdepage"/>
      </w:pPr>
      <w:r>
        <w:rPr>
          <w:rStyle w:val="Appelnotedebasdep"/>
        </w:rPr>
        <w:footnoteRef/>
        <w:t xml:space="preserve"> </w:t>
      </w:r>
      <w:r>
        <w:rPr/>
        <w:t xml:space="preserve"> Plutarque, </w:t>
      </w:r>
      <w:r>
        <w:rPr>
          <w:i/>
        </w:rPr>
        <w:t xml:space="preserve">De sera num. vind</w:t>
      </w:r>
      <w:r>
        <w:rPr/>
        <w:t xml:space="preserve">., 19 ; Artémidore, </w:t>
      </w:r>
      <w:r>
        <w:rPr>
          <w:i/>
        </w:rPr>
        <w:t xml:space="preserve">Onirocrit</w:t>
      </w:r>
      <w:r>
        <w:rPr/>
        <w:t xml:space="preserve">., II, 56.</w:t>
      </w:r>
    </w:p>
  </w:footnote>
  <w:footnote w:id="1164">
    <w:p>
      <w:pPr>
        <w:pStyle w:val="Notedebasdepage"/>
      </w:pPr>
      <w:r>
        <w:rPr>
          <w:rStyle w:val="Appelnotedebasdep"/>
        </w:rPr>
        <w:footnoteRef/>
        <w:t xml:space="preserve"> </w:t>
      </w:r>
      <w:r>
        <w:rPr/>
        <w:t xml:space="preserve">Marc, XV, 21.</w:t>
      </w:r>
    </w:p>
  </w:footnote>
  <w:footnote w:id="1165">
    <w:p>
      <w:pPr>
        <w:pStyle w:val="Notedebasdepage"/>
      </w:pPr>
      <w:r>
        <w:rPr>
          <w:rStyle w:val="Appelnotedebasdep"/>
        </w:rPr>
        <w:footnoteRef/>
        <w:t xml:space="preserve"> </w:t>
      </w:r>
      <w:r>
        <w:rPr/>
        <w:t xml:space="preserve"> La circonstance </w:t>
      </w:r>
      <w:r>
        <w:rPr>
          <w:i/>
        </w:rPr>
        <w:t xml:space="preserve">Luc</w:t>
      </w:r>
      <w:r>
        <w:rPr/>
        <w:t xml:space="preserve">, XXIII, 27-31 est de celles où l’on sent le travail d’une imagination pieuse et attendrie. Les paroles qu’on y prête à Jésus n’ont pu être écrites qu’après le siège de Jérusalem.</w:t>
      </w:r>
    </w:p>
  </w:footnote>
  <w:footnote w:id="1166">
    <w:p>
      <w:pPr>
        <w:pStyle w:val="Notedebasdepage"/>
      </w:pPr>
      <w:r>
        <w:rPr>
          <w:rStyle w:val="Appelnotedebasdep"/>
        </w:rPr>
        <w:footnoteRef/>
        <w:t xml:space="preserve"> </w:t>
      </w:r>
      <w:r>
        <w:rPr/>
        <w:t xml:space="preserve"> Talm. de Bab., </w:t>
      </w:r>
      <w:r>
        <w:rPr>
          <w:i/>
        </w:rPr>
        <w:t xml:space="preserve">Sanhédrin</w:t>
      </w:r>
      <w:r>
        <w:rPr/>
        <w:t xml:space="preserve">, fol. 43 </w:t>
      </w:r>
      <w:r>
        <w:rPr>
          <w:i/>
        </w:rPr>
        <w:t xml:space="preserve">a.</w:t>
      </w:r>
      <w:r>
        <w:rPr/>
        <w:t xml:space="preserve"> Comp. </w:t>
      </w:r>
      <w:r>
        <w:rPr>
          <w:i/>
        </w:rPr>
        <w:t xml:space="preserve">Prov</w:t>
      </w:r>
      <w:r>
        <w:rPr/>
        <w:t xml:space="preserve">., XXI, 6.</w:t>
      </w:r>
    </w:p>
  </w:footnote>
  <w:footnote w:id="1167">
    <w:p>
      <w:pPr>
        <w:pStyle w:val="Notedebasdepage"/>
      </w:pPr>
      <w:r>
        <w:rPr>
          <w:rStyle w:val="Appelnotedebasdep"/>
        </w:rPr>
        <w:footnoteRef/>
        <w:t xml:space="preserve"> </w:t>
      </w:r>
      <w:r>
        <w:rPr/>
        <w:t xml:space="preserve"> Talm. de Bab., </w:t>
      </w:r>
      <w:r>
        <w:rPr>
          <w:i/>
        </w:rPr>
        <w:t xml:space="preserve">Sanhédrin</w:t>
      </w:r>
      <w:r>
        <w:rPr/>
        <w:t xml:space="preserve">, 1. c.</w:t>
      </w:r>
    </w:p>
  </w:footnote>
  <w:footnote w:id="1168">
    <w:p>
      <w:pPr>
        <w:pStyle w:val="Notedebasdepage"/>
      </w:pPr>
      <w:r>
        <w:rPr>
          <w:rStyle w:val="Appelnotedebasdep"/>
        </w:rPr>
        <w:footnoteRef/>
        <w:t xml:space="preserve"> </w:t>
      </w:r>
      <w:r>
        <w:rPr/>
        <w:t xml:space="preserve">Marc, XV, 23. Matth., XXVII, 34, fausse ce détail, pour obtenir une allusion messianique au PS. LXIX, 22.</w:t>
      </w:r>
    </w:p>
  </w:footnote>
  <w:footnote w:id="1169">
    <w:p>
      <w:pPr>
        <w:pStyle w:val="Notedebasdepage"/>
      </w:pPr>
      <w:r>
        <w:rPr>
          <w:rStyle w:val="Appelnotedebasdep"/>
        </w:rPr>
        <w:footnoteRef/>
        <w:t xml:space="preserve"> </w:t>
      </w:r>
      <w:r>
        <w:rPr/>
        <w:t xml:space="preserve"> Matth., XXVII, 35 ; Marc, XV, 24 ; Jean, XIX, 23. Cf, Artémidore, </w:t>
      </w:r>
      <w:r>
        <w:rPr>
          <w:i/>
        </w:rPr>
        <w:t xml:space="preserve">Onirocr</w:t>
      </w:r>
      <w:r>
        <w:rPr/>
        <w:t xml:space="preserve">., II, 53.</w:t>
      </w:r>
    </w:p>
  </w:footnote>
  <w:footnote w:id="1170">
    <w:p>
      <w:pPr>
        <w:pStyle w:val="Notedebasdepage"/>
      </w:pPr>
      <w:r>
        <w:rPr>
          <w:rStyle w:val="Appelnotedebasdep"/>
        </w:rPr>
        <w:footnoteRef/>
        <w:t xml:space="preserve"> </w:t>
      </w:r>
      <w:r>
        <w:rPr/>
        <w:t xml:space="preserve"> Lucien, </w:t>
      </w:r>
      <w:r>
        <w:rPr>
          <w:i/>
        </w:rPr>
        <w:t xml:space="preserve">Jud. voc</w:t>
      </w:r>
      <w:r>
        <w:rPr/>
        <w:t xml:space="preserve">., 12. Comparez le crucifix grotesque tracé à Rome sur un mur du mont Palatin. </w:t>
      </w:r>
      <w:r>
        <w:rPr>
          <w:i/>
        </w:rPr>
        <w:t xml:space="preserve">Civiltà cattolica</w:t>
      </w:r>
      <w:r>
        <w:rPr/>
        <w:t xml:space="preserve">, fasc. CLXI, p. 529 et suiv.</w:t>
      </w:r>
    </w:p>
  </w:footnote>
  <w:footnote w:id="1171">
    <w:p>
      <w:pPr>
        <w:pStyle w:val="Notedebasdepage"/>
      </w:pPr>
      <w:r>
        <w:rPr>
          <w:rStyle w:val="Appelnotedebasdep"/>
        </w:rPr>
        <w:footnoteRef/>
        <w:t xml:space="preserve"> </w:t>
      </w:r>
      <w:r>
        <w:rPr/>
        <w:t xml:space="preserve"> Jos., </w:t>
      </w:r>
      <w:r>
        <w:rPr>
          <w:i/>
        </w:rPr>
        <w:t xml:space="preserve">B. J</w:t>
      </w:r>
      <w:r>
        <w:rPr/>
        <w:t xml:space="preserve">., VII, VI, 4 ; Cic., </w:t>
      </w:r>
      <w:r>
        <w:rPr>
          <w:i/>
        </w:rPr>
        <w:t xml:space="preserve">In Verr</w:t>
      </w:r>
      <w:r>
        <w:rPr/>
        <w:t xml:space="preserve">., V, 66 ; Xénoph. Ephes., </w:t>
      </w:r>
      <w:r>
        <w:rPr>
          <w:i/>
        </w:rPr>
        <w:t xml:space="preserve">Ephesiaca</w:t>
      </w:r>
      <w:r>
        <w:rPr/>
        <w:t xml:space="preserve">, IV, 2.</w:t>
      </w:r>
    </w:p>
  </w:footnote>
  <w:footnote w:id="1172">
    <w:p>
      <w:pPr>
        <w:pStyle w:val="Notedebasdepage"/>
      </w:pPr>
      <w:r>
        <w:rPr>
          <w:rStyle w:val="Appelnotedebasdep"/>
        </w:rPr>
        <w:footnoteRef/>
        <w:t xml:space="preserve"> </w:t>
      </w:r>
      <w:r>
        <w:rPr/>
        <w:t xml:space="preserve"> Luc, XXIV, 39 ; Jean, XX, 25-27 ; Plaute, </w:t>
      </w:r>
      <w:r>
        <w:rPr>
          <w:i/>
        </w:rPr>
        <w:t xml:space="preserve">Mostellaria</w:t>
      </w:r>
      <w:r>
        <w:rPr/>
        <w:t xml:space="preserve">, II, I, 13 ; Lucain, </w:t>
      </w:r>
      <w:r>
        <w:rPr>
          <w:i/>
        </w:rPr>
        <w:t xml:space="preserve">Phars</w:t>
      </w:r>
      <w:r>
        <w:rPr/>
        <w:t xml:space="preserve">., VI, 543 et suiv., 547 ; Justin, </w:t>
      </w:r>
      <w:r>
        <w:rPr>
          <w:i/>
        </w:rPr>
        <w:t xml:space="preserve">Dial. cum Tryph</w:t>
      </w:r>
      <w:r>
        <w:rPr/>
        <w:t xml:space="preserve">., 97 ; Tertullien, </w:t>
      </w:r>
      <w:r>
        <w:rPr>
          <w:i/>
        </w:rPr>
        <w:t xml:space="preserve">Adv. Marcionem</w:t>
      </w:r>
      <w:r>
        <w:rPr/>
        <w:t xml:space="preserve">, III, 19.</w:t>
      </w:r>
    </w:p>
  </w:footnote>
  <w:footnote w:id="1173">
    <w:p>
      <w:pPr>
        <w:pStyle w:val="Notedebasdepage"/>
      </w:pPr>
      <w:r>
        <w:rPr>
          <w:rStyle w:val="Appelnotedebasdep"/>
        </w:rPr>
        <w:footnoteRef/>
        <w:t xml:space="preserve"> </w:t>
      </w:r>
      <w:r>
        <w:rPr/>
        <w:t xml:space="preserve"> Irénée, </w:t>
      </w:r>
      <w:r>
        <w:rPr>
          <w:i/>
        </w:rPr>
        <w:t xml:space="preserve">Adv. hær</w:t>
      </w:r>
      <w:r>
        <w:rPr/>
        <w:t xml:space="preserve">., II, 24 ; Justin, </w:t>
      </w:r>
      <w:r>
        <w:rPr>
          <w:i/>
        </w:rPr>
        <w:t xml:space="preserve">Dial. cum Tryphone</w:t>
      </w:r>
      <w:r>
        <w:rPr/>
        <w:t xml:space="preserve">, 91.</w:t>
      </w:r>
    </w:p>
  </w:footnote>
  <w:footnote w:id="1174">
    <w:p>
      <w:pPr>
        <w:pStyle w:val="Notedebasdepage"/>
      </w:pPr>
      <w:r>
        <w:rPr>
          <w:rStyle w:val="Appelnotedebasdep"/>
        </w:rPr>
        <w:footnoteRef/>
        <w:t xml:space="preserve"> </w:t>
      </w:r>
      <w:r>
        <w:rPr/>
        <w:t xml:space="preserve"> Voir le </w:t>
      </w:r>
      <w:r>
        <w:rPr>
          <w:i/>
        </w:rPr>
        <w:t xml:space="preserve">graffito</w:t>
      </w:r>
      <w:r>
        <w:rPr/>
        <w:t xml:space="preserve"> précité.</w:t>
      </w:r>
    </w:p>
  </w:footnote>
  <w:footnote w:id="1175">
    <w:p>
      <w:pPr>
        <w:pStyle w:val="Notedebasdepage"/>
      </w:pPr>
      <w:r>
        <w:rPr>
          <w:rStyle w:val="Appelnotedebasdep"/>
        </w:rPr>
        <w:footnoteRef/>
        <w:t xml:space="preserve"> </w:t>
      </w:r>
      <w:r>
        <w:rPr/>
        <w:t xml:space="preserve"> Voir le texte arabe publié par Kosegarten, </w:t>
      </w:r>
      <w:r>
        <w:rPr>
          <w:i/>
        </w:rPr>
        <w:t xml:space="preserve">Chrest. arab</w:t>
      </w:r>
      <w:r>
        <w:rPr/>
        <w:t xml:space="preserve">., p. 64.</w:t>
      </w:r>
    </w:p>
  </w:footnote>
  <w:footnote w:id="1176">
    <w:p>
      <w:pPr>
        <w:pStyle w:val="Notedebasdepage"/>
      </w:pPr>
      <w:r>
        <w:rPr>
          <w:rStyle w:val="Appelnotedebasdep"/>
        </w:rPr>
        <w:footnoteRef/>
        <w:t xml:space="preserve"> </w:t>
      </w:r>
      <w:r>
        <w:rPr/>
        <w:t xml:space="preserve"> Spartien, </w:t>
      </w:r>
      <w:r>
        <w:rPr>
          <w:i/>
        </w:rPr>
        <w:t xml:space="preserve">Vie d’Adrien</w:t>
      </w:r>
      <w:r>
        <w:rPr/>
        <w:t xml:space="preserve">, 10 ; Vulcatius Gallicanus, </w:t>
      </w:r>
      <w:r>
        <w:rPr>
          <w:i/>
        </w:rPr>
        <w:t xml:space="preserve">Vie d’Avidius Cassius</w:t>
      </w:r>
      <w:r>
        <w:rPr/>
        <w:t xml:space="preserve">, 5.</w:t>
      </w:r>
    </w:p>
  </w:footnote>
  <w:footnote w:id="1177">
    <w:p>
      <w:pPr>
        <w:pStyle w:val="Notedebasdepage"/>
      </w:pPr>
      <w:r>
        <w:rPr>
          <w:rStyle w:val="Appelnotedebasdep"/>
        </w:rPr>
        <w:footnoteRef/>
        <w:t xml:space="preserve"> </w:t>
      </w:r>
      <w:r>
        <w:rPr/>
        <w:t xml:space="preserve">Matth., XXVII, 48 ; Marc, XV, 36 ; Luc, XXIII, 36 ; Jean, XIX, 28-30.</w:t>
      </w:r>
    </w:p>
  </w:footnote>
  <w:footnote w:id="1178">
    <w:p>
      <w:pPr>
        <w:pStyle w:val="Notedebasdepage"/>
      </w:pPr>
      <w:r>
        <w:rPr>
          <w:rStyle w:val="Appelnotedebasdep"/>
        </w:rPr>
        <w:footnoteRef/>
        <w:t xml:space="preserve"> </w:t>
      </w:r>
      <w:r>
        <w:rPr/>
        <w:t xml:space="preserve"> Dig., XLVII, xx, </w:t>
      </w:r>
      <w:r>
        <w:rPr>
          <w:i/>
        </w:rPr>
        <w:t xml:space="preserve">De bonis damnat</w:t>
      </w:r>
      <w:r>
        <w:rPr/>
        <w:t xml:space="preserve">., 6. Adrien limita cet usage.</w:t>
      </w:r>
    </w:p>
  </w:footnote>
  <w:footnote w:id="1179">
    <w:p>
      <w:pPr>
        <w:pStyle w:val="Notedebasdepage"/>
      </w:pPr>
      <w:r>
        <w:rPr>
          <w:rStyle w:val="Appelnotedebasdep"/>
        </w:rPr>
        <w:footnoteRef/>
        <w:t xml:space="preserve"> </w:t>
      </w:r>
      <w:r>
        <w:rPr/>
        <w:t xml:space="preserve"> Matth., XXVII, 36. Cf. </w:t>
      </w:r>
      <w:r>
        <w:rPr>
          <w:i/>
        </w:rPr>
        <w:t xml:space="preserve">Pétrone, Satyr</w:t>
      </w:r>
      <w:r>
        <w:rPr/>
        <w:t xml:space="preserve">., CXI, CXII.</w:t>
      </w:r>
    </w:p>
  </w:footnote>
  <w:footnote w:id="1180">
    <w:p>
      <w:pPr>
        <w:pStyle w:val="Notedebasdepage"/>
      </w:pPr>
      <w:r>
        <w:rPr>
          <w:rStyle w:val="Appelnotedebasdep"/>
        </w:rPr>
        <w:footnoteRef/>
        <w:t xml:space="preserve"> </w:t>
      </w:r>
      <w:r>
        <w:rPr/>
        <w:t xml:space="preserve">Luc, XXIII, 34. En général les dernières paroles prêtées à Jésus, surtout telles que Luc les rapporte, prêtent au doute. L’intention d’édifier ou de montrer l’accomplissement des prophéties s’y fait sentir. Dans ces cas d’ailleurs, chacun entend à sa guise. Les dernières paroles des condamnés célèbres sont toujours recueillies de deux ou trois façons complètement différentes par les témoins les plus rapprochés.</w:t>
      </w:r>
    </w:p>
  </w:footnote>
  <w:footnote w:id="1181">
    <w:p>
      <w:pPr>
        <w:pStyle w:val="Notedebasdepage"/>
      </w:pPr>
      <w:r>
        <w:rPr>
          <w:rStyle w:val="Appelnotedebasdep"/>
        </w:rPr>
        <w:footnoteRef/>
        <w:t xml:space="preserve"> </w:t>
      </w:r>
      <w:r>
        <w:rPr/>
        <w:t xml:space="preserve">Jean, XIX, 19-22.</w:t>
      </w:r>
    </w:p>
  </w:footnote>
  <w:footnote w:id="1182">
    <w:p>
      <w:pPr>
        <w:pStyle w:val="Notedebasdepage"/>
      </w:pPr>
      <w:r>
        <w:rPr>
          <w:rStyle w:val="Appelnotedebasdep"/>
        </w:rPr>
        <w:footnoteRef/>
        <w:t xml:space="preserve"> </w:t>
      </w:r>
      <w:r>
        <w:rPr/>
        <w:t xml:space="preserve">Jean, XIX, 25 et suiv.</w:t>
      </w:r>
    </w:p>
  </w:footnote>
  <w:footnote w:id="1183">
    <w:p>
      <w:pPr>
        <w:pStyle w:val="Notedebasdepage"/>
      </w:pPr>
      <w:r>
        <w:rPr>
          <w:rStyle w:val="Appelnotedebasdep"/>
        </w:rPr>
        <w:footnoteRef/>
        <w:t xml:space="preserve"> </w:t>
      </w:r>
      <w:r>
        <w:rPr/>
        <w:t xml:space="preserve">Les synoptiques sont d’accord pour placer le groupe fidèle « loin » de la croix. Jean dit : « à côté », dominé par le désir qu’il a de s’être approché très-près de la croix de Jésus.</w:t>
      </w:r>
    </w:p>
  </w:footnote>
  <w:footnote w:id="1184">
    <w:p>
      <w:pPr>
        <w:pStyle w:val="Notedebasdepage"/>
      </w:pPr>
      <w:r>
        <w:rPr>
          <w:rStyle w:val="Appelnotedebasdep"/>
        </w:rPr>
        <w:footnoteRef/>
        <w:t xml:space="preserve"> </w:t>
      </w:r>
      <w:r>
        <w:rPr/>
        <w:t xml:space="preserve">Matth., XXVII, 55-56 ; Marc, XV, 40-41 ; Luc, XXIII, 49, 55 ; XXIV, 10 ; Jean, XIX, 25. Cf. Luc, XXIII, 27-31.</w:t>
      </w:r>
    </w:p>
  </w:footnote>
  <w:footnote w:id="1185">
    <w:p>
      <w:pPr>
        <w:pStyle w:val="Notedebasdepage"/>
      </w:pPr>
      <w:r>
        <w:rPr>
          <w:rStyle w:val="Appelnotedebasdep"/>
        </w:rPr>
        <w:footnoteRef/>
        <w:t xml:space="preserve"> </w:t>
      </w:r>
      <w:r>
        <w:rPr/>
        <w:t xml:space="preserve"> Jean, XIX, 25 et suiv. Luc, toujours intermédiaire entre les deux premiers synoptiques et Jean, place aussi, mais à distance, « tous ses amis. » (XXIII, 49.) L’expression [Greek : gnôstoi] peut, il est vrai, convenir aux « parents. » Luc cependant (II, 44) distingue les [Greek : gnôstoi] des[Greek : sungeneis]. Ajoutons que les meilleurs manuscrits portent [Greek : oi gnôstoi autô], et non[Greek : oi gnôstoi autô autou]. Dans les </w:t>
      </w:r>
      <w:r>
        <w:rPr>
          <w:i/>
        </w:rPr>
        <w:t xml:space="preserve">Actes</w:t>
      </w:r>
      <w:r>
        <w:rPr/>
        <w:t xml:space="preserve"> (I, 14), Marie, mère de Jésus, est mise aussi en compagnie des femmes galiléennes ; ailleurs (</w:t>
      </w:r>
      <w:r>
        <w:rPr>
          <w:i/>
        </w:rPr>
        <w:t xml:space="preserve">Évang</w:t>
      </w:r>
      <w:r>
        <w:rPr/>
        <w:t xml:space="preserve">., II, 35), Luc lui prédit qu’un glaive de douleur lui percera le cœur. Mais on s’explique d’autant moins qu’il l’omette à la croix.</w:t>
      </w:r>
    </w:p>
  </w:footnote>
  <w:footnote w:id="1186">
    <w:p>
      <w:pPr>
        <w:pStyle w:val="Notedebasdepage"/>
      </w:pPr>
      <w:r>
        <w:rPr>
          <w:rStyle w:val="Appelnotedebasdep"/>
        </w:rPr>
        <w:footnoteRef/>
        <w:t xml:space="preserve"> </w:t>
      </w:r>
      <w:r>
        <w:rPr/>
        <w:t xml:space="preserve">C’est là, selon moi, un de ces traits où se trahissent la personnalité de Jean et le désir qu’il a de se donner de l’importance. Jean, après la mort de Jésus, paraît en effet avoir recueilli la mère de son maître, et l’avoir comme adoptée (Jean, XIX, 27). La grande considération dont jouit Marie dans l’église naissante le porta sans doute à prétendre que Jésus, dont il voulait se donner pour le disciple favori, lui avait recommandé en mourant ce qu’il avait de plus cher. La présence auprès de lui de ce précieux dépôt lui assurait sur les autres apôtres une sorte de préséance, et donnait à sa doctrine une haute autorité.</w:t>
      </w:r>
    </w:p>
  </w:footnote>
  <w:footnote w:id="1187">
    <w:p>
      <w:pPr>
        <w:pStyle w:val="Notedebasdepage"/>
      </w:pPr>
      <w:r>
        <w:rPr>
          <w:rStyle w:val="Appelnotedebasdep"/>
        </w:rPr>
        <w:footnoteRef/>
        <w:t xml:space="preserve"> </w:t>
      </w:r>
      <w:r>
        <w:rPr/>
        <w:t xml:space="preserve">Matth., XXVII, 40 et suiv. ; Marc, XV, 29 et suiv.</w:t>
      </w:r>
    </w:p>
  </w:footnote>
  <w:footnote w:id="1188">
    <w:p>
      <w:pPr>
        <w:pStyle w:val="Notedebasdepage"/>
      </w:pPr>
      <w:r>
        <w:rPr>
          <w:rStyle w:val="Appelnotedebasdep"/>
        </w:rPr>
        <w:footnoteRef/>
        <w:t xml:space="preserve"> </w:t>
      </w:r>
      <w:r>
        <w:rPr/>
        <w:t xml:space="preserve">Matth., XXVII, 44 ; Marc, XV, 32. Luc, suivant son goût pour la conversion des pécheurs, a ici modifié la tradition.</w:t>
      </w:r>
    </w:p>
  </w:footnote>
  <w:footnote w:id="1189">
    <w:p>
      <w:pPr>
        <w:pStyle w:val="Notedebasdepage"/>
      </w:pPr>
      <w:r>
        <w:rPr>
          <w:rStyle w:val="Appelnotedebasdep"/>
        </w:rPr>
        <w:footnoteRef/>
        <w:t xml:space="preserve"> </w:t>
      </w:r>
      <w:r>
        <w:rPr/>
        <w:t xml:space="preserve">Matth., XXVII, 43 ; Marc, XV, 33 ; Luc, XXIII, 44.</w:t>
      </w:r>
    </w:p>
  </w:footnote>
  <w:footnote w:id="1190">
    <w:p>
      <w:pPr>
        <w:pStyle w:val="Notedebasdepage"/>
      </w:pPr>
      <w:r>
        <w:rPr>
          <w:rStyle w:val="Appelnotedebasdep"/>
        </w:rPr>
        <w:footnoteRef/>
        <w:t xml:space="preserve"> </w:t>
      </w:r>
      <w:r>
        <w:rPr/>
        <w:t xml:space="preserve"> Pétrone, </w:t>
      </w:r>
      <w:r>
        <w:rPr>
          <w:i/>
        </w:rPr>
        <w:t xml:space="preserve">Sat.</w:t>
      </w:r>
      <w:r>
        <w:rPr/>
        <w:t xml:space="preserve">, CXI et suiv. ; Origène, </w:t>
      </w:r>
      <w:r>
        <w:rPr>
          <w:i/>
        </w:rPr>
        <w:t xml:space="preserve">In Matth. Comment. series</w:t>
      </w:r>
      <w:r>
        <w:rPr/>
        <w:t xml:space="preserve">, 140 ; texte arabe publié dans Kosegarten, </w:t>
      </w:r>
      <w:r>
        <w:rPr>
          <w:i/>
        </w:rPr>
        <w:t xml:space="preserve">op. cit.</w:t>
      </w:r>
      <w:r>
        <w:rPr/>
        <w:t xml:space="preserve">, p. 63 et suiv.</w:t>
      </w:r>
    </w:p>
  </w:footnote>
  <w:footnote w:id="1191">
    <w:p>
      <w:pPr>
        <w:pStyle w:val="Notedebasdepage"/>
      </w:pPr>
      <w:r>
        <w:rPr>
          <w:rStyle w:val="Appelnotedebasdep"/>
        </w:rPr>
        <w:footnoteRef/>
        <w:t xml:space="preserve"> </w:t>
      </w:r>
      <w:r>
        <w:rPr/>
        <w:t xml:space="preserve"> Eusèbe, </w:t>
      </w:r>
      <w:r>
        <w:rPr>
          <w:i/>
        </w:rPr>
        <w:t xml:space="preserve">Hist. eccl.</w:t>
      </w:r>
      <w:r>
        <w:rPr/>
        <w:t xml:space="preserve">, VIII, 8.</w:t>
      </w:r>
    </w:p>
  </w:footnote>
  <w:footnote w:id="1192">
    <w:p>
      <w:pPr>
        <w:pStyle w:val="Notedebasdepage"/>
      </w:pPr>
      <w:r>
        <w:rPr>
          <w:rStyle w:val="Appelnotedebasdep"/>
        </w:rPr>
        <w:footnoteRef/>
        <w:t xml:space="preserve"> </w:t>
      </w:r>
      <w:r>
        <w:rPr/>
        <w:t xml:space="preserve">Matth., XXVII, 46 ; Marc, XV, 34.</w:t>
      </w:r>
    </w:p>
  </w:footnote>
  <w:footnote w:id="1193">
    <w:p>
      <w:pPr>
        <w:pStyle w:val="Notedebasdepage"/>
      </w:pPr>
      <w:r>
        <w:rPr>
          <w:rStyle w:val="Appelnotedebasdep"/>
        </w:rPr>
        <w:footnoteRef/>
        <w:t xml:space="preserve"> </w:t>
      </w:r>
      <w:r>
        <w:rPr/>
        <w:t xml:space="preserve">Matth., XXVII, 50 ; Marc, XV, 37 ; Luc, XXIII, 46 ; Jean, XIX, 30.</w:t>
      </w:r>
    </w:p>
  </w:footnote>
  <w:footnote w:id="1194">
    <w:p>
      <w:pPr>
        <w:pStyle w:val="Notedebasdepage"/>
      </w:pPr>
      <w:r>
        <w:rPr>
          <w:rStyle w:val="Appelnotedebasdep"/>
        </w:rPr>
        <w:footnoteRef/>
        <w:t xml:space="preserve"> </w:t>
      </w:r>
      <w:r>
        <w:rPr/>
        <w:t xml:space="preserve">Matth., XXVII, 46 ; Marc, XV, 37 ; Luc, XXIII, 44. Comp. Jean, XIX, 14.</w:t>
      </w:r>
    </w:p>
  </w:footnote>
  <w:footnote w:id="1195">
    <w:p>
      <w:pPr>
        <w:pStyle w:val="Notedebasdepage"/>
      </w:pPr>
      <w:r>
        <w:rPr>
          <w:rStyle w:val="Appelnotedebasdep"/>
        </w:rPr>
        <w:footnoteRef/>
        <w:t xml:space="preserve"> </w:t>
      </w:r>
      <w:r>
        <w:rPr>
          <w:i/>
        </w:rPr>
        <w:t xml:space="preserve">Deutéron.</w:t>
      </w:r>
      <w:r>
        <w:rPr/>
        <w:t xml:space="preserve">, XXI, 22-23 ; Josué, VIII, 29 ; X, 26 et suiv. Cf. Jos., </w:t>
      </w:r>
      <w:r>
        <w:rPr>
          <w:i/>
        </w:rPr>
        <w:t xml:space="preserve">B.J.</w:t>
      </w:r>
      <w:r>
        <w:rPr/>
        <w:t xml:space="preserve">, IV, </w:t>
      </w:r>
      <w:r>
        <w:rPr/>
        <w:t xml:space="preserve">v</w:t>
      </w:r>
      <w:r>
        <w:rPr/>
        <w:t xml:space="preserve">, 2 ; Mischna, </w:t>
      </w:r>
      <w:r>
        <w:rPr>
          <w:i/>
        </w:rPr>
        <w:t xml:space="preserve">Sanhédrin</w:t>
      </w:r>
      <w:r>
        <w:rPr/>
        <w:t xml:space="preserve">, VI, 5.</w:t>
      </w:r>
    </w:p>
  </w:footnote>
  <w:footnote w:id="1196">
    <w:p>
      <w:pPr>
        <w:pStyle w:val="Notedebasdepage"/>
      </w:pPr>
      <w:r>
        <w:rPr>
          <w:rStyle w:val="Appelnotedebasdep"/>
        </w:rPr>
        <w:footnoteRef/>
        <w:t xml:space="preserve"> </w:t>
      </w:r>
      <w:r>
        <w:rPr/>
        <w:t xml:space="preserve">Jean dit : « à Pilate » ; mais cela ne se peut, car Marc (XV, 44-45) veut que le soir Pilate ignorât encore la mort de Jésus.</w:t>
      </w:r>
    </w:p>
  </w:footnote>
  <w:footnote w:id="1197">
    <w:p>
      <w:pPr>
        <w:pStyle w:val="Notedebasdepage"/>
      </w:pPr>
      <w:r>
        <w:rPr>
          <w:rStyle w:val="Appelnotedebasdep"/>
        </w:rPr>
        <w:footnoteRef/>
        <w:t xml:space="preserve"> </w:t>
      </w:r>
      <w:r>
        <w:rPr/>
        <w:t xml:space="preserve"> Comparez Philon, </w:t>
      </w:r>
      <w:r>
        <w:rPr>
          <w:i/>
        </w:rPr>
        <w:t xml:space="preserve">In Flaccum</w:t>
      </w:r>
      <w:r>
        <w:rPr/>
        <w:t xml:space="preserve">, § 10.</w:t>
      </w:r>
    </w:p>
  </w:footnote>
  <w:footnote w:id="1198">
    <w:p>
      <w:pPr>
        <w:pStyle w:val="Notedebasdepage"/>
      </w:pPr>
      <w:r>
        <w:rPr>
          <w:rStyle w:val="Appelnotedebasdep"/>
        </w:rPr>
        <w:footnoteRef/>
        <w:t xml:space="preserve"> </w:t>
      </w:r>
      <w:r>
        <w:rPr/>
        <w:t xml:space="preserve"> Il n’y a pas d’autre exemple du </w:t>
      </w:r>
      <w:r>
        <w:rPr>
          <w:i/>
        </w:rPr>
        <w:t xml:space="preserve">crurifragium</w:t>
      </w:r>
      <w:r>
        <w:rPr/>
        <w:t xml:space="preserve"> appliqué à la suite du crucifiement. Mais souvent, pour abréger les tortures du patient, on lui donnait un coup de grâce. Voir le passage d’Ibn-Hischâm, traduit dans la </w:t>
      </w:r>
      <w:r>
        <w:rPr>
          <w:i/>
        </w:rPr>
        <w:t xml:space="preserve">Zeitschrift für die Kunde des Morgenlandes</w:t>
      </w:r>
      <w:r>
        <w:rPr/>
        <w:t xml:space="preserve">, I, p. 99-100.</w:t>
      </w:r>
    </w:p>
  </w:footnote>
  <w:footnote w:id="1199">
    <w:p>
      <w:pPr>
        <w:pStyle w:val="Notedebasdepage"/>
      </w:pPr>
      <w:r>
        <w:rPr>
          <w:rStyle w:val="Appelnotedebasdep"/>
        </w:rPr>
        <w:footnoteRef/>
        <w:t xml:space="preserve"> </w:t>
      </w:r>
      <w:r>
        <w:rPr/>
        <w:t xml:space="preserve">Jean, XIX, 31-35.</w:t>
      </w:r>
    </w:p>
  </w:footnote>
  <w:footnote w:id="1200">
    <w:p>
      <w:pPr>
        <w:pStyle w:val="Notedebasdepage"/>
      </w:pPr>
      <w:r>
        <w:rPr>
          <w:rStyle w:val="Appelnotedebasdep"/>
        </w:rPr>
        <w:footnoteRef/>
        <w:t xml:space="preserve"> </w:t>
      </w:r>
      <w:r>
        <w:rPr/>
        <w:t xml:space="preserve"> Hérodote, VII, 194 ; Jos., </w:t>
      </w:r>
      <w:r>
        <w:rPr>
          <w:i/>
        </w:rPr>
        <w:t xml:space="preserve">Vila</w:t>
      </w:r>
      <w:r>
        <w:rPr/>
        <w:t xml:space="preserve">, 75.</w:t>
      </w:r>
    </w:p>
  </w:footnote>
  <w:footnote w:id="1201">
    <w:p>
      <w:pPr>
        <w:pStyle w:val="Notedebasdepage"/>
      </w:pPr>
      <w:r>
        <w:rPr>
          <w:rStyle w:val="Appelnotedebasdep"/>
        </w:rPr>
        <w:footnoteRef/>
        <w:t xml:space="preserve"> </w:t>
      </w:r>
      <w:r>
        <w:rPr/>
        <w:t xml:space="preserve">In Matth. Comment. series, 140.</w:t>
      </w:r>
    </w:p>
  </w:footnote>
  <w:footnote w:id="1202">
    <w:p>
      <w:pPr>
        <w:pStyle w:val="Notedebasdepage"/>
      </w:pPr>
      <w:r>
        <w:rPr>
          <w:rStyle w:val="Appelnotedebasdep"/>
        </w:rPr>
        <w:footnoteRef/>
        <w:t xml:space="preserve"> </w:t>
      </w:r>
      <w:r>
        <w:rPr/>
        <w:t xml:space="preserve">Marc, XV, 44-45.</w:t>
      </w:r>
    </w:p>
  </w:footnote>
  <w:footnote w:id="1203">
    <w:p>
      <w:pPr>
        <w:pStyle w:val="Notedebasdepage"/>
      </w:pPr>
      <w:r>
        <w:rPr>
          <w:rStyle w:val="Appelnotedebasdep"/>
        </w:rPr>
        <w:footnoteRef/>
        <w:t xml:space="preserve"> </w:t>
      </w:r>
      <w:r>
        <w:rPr/>
        <w:t xml:space="preserve">Les besoins de l’argumentation chrétienne portèrent plus tard à exagérer ces précautions, surtout quand les Juifs eurent adopté pour système de soutenir que le corps de Jésus avait été volé. Matth., XXVII, 62 et suiv. ; XXVIII, 11-15.</w:t>
      </w:r>
    </w:p>
  </w:footnote>
  <w:footnote w:id="1204">
    <w:p>
      <w:pPr>
        <w:pStyle w:val="Notedebasdepage"/>
      </w:pPr>
      <w:r>
        <w:rPr>
          <w:rStyle w:val="Appelnotedebasdep"/>
        </w:rPr>
        <w:footnoteRef/>
        <w:t xml:space="preserve"> </w:t>
      </w:r>
      <w:r>
        <w:rPr/>
        <w:t xml:space="preserve"> Horace, </w:t>
      </w:r>
      <w:r>
        <w:rPr>
          <w:i/>
        </w:rPr>
        <w:t xml:space="preserve">Epîtres</w:t>
      </w:r>
      <w:r>
        <w:rPr/>
        <w:t xml:space="preserve">, I, XVI, 48 ; Juvénal, XIV, 77 ; Lucain, VI, 544 ; Plaute, </w:t>
      </w:r>
      <w:r>
        <w:rPr>
          <w:i/>
        </w:rPr>
        <w:t xml:space="preserve">Miles glor.</w:t>
      </w:r>
      <w:r>
        <w:rPr/>
        <w:t xml:space="preserve">, II, IV, 19 ; Artémidore, </w:t>
      </w:r>
      <w:r>
        <w:rPr>
          <w:i/>
        </w:rPr>
        <w:t xml:space="preserve">Onir.</w:t>
      </w:r>
      <w:r>
        <w:rPr/>
        <w:t xml:space="preserve">, II, 53 ; Pline, XXXVI, 24 ; Plutarque, </w:t>
      </w:r>
      <w:r>
        <w:rPr>
          <w:i/>
        </w:rPr>
        <w:t xml:space="preserve">Vie de Cléomène</w:t>
      </w:r>
      <w:r>
        <w:rPr/>
        <w:t xml:space="preserve">, 39 ; Pétrone, </w:t>
      </w:r>
      <w:r>
        <w:rPr>
          <w:i/>
        </w:rPr>
        <w:t xml:space="preserve">Sat.</w:t>
      </w:r>
      <w:r>
        <w:rPr/>
        <w:t xml:space="preserve">, CXI-CXII.</w:t>
      </w:r>
    </w:p>
  </w:footnote>
  <w:footnote w:id="1205">
    <w:p>
      <w:pPr>
        <w:pStyle w:val="Notedebasdepage"/>
      </w:pPr>
      <w:r>
        <w:rPr>
          <w:rStyle w:val="Appelnotedebasdep"/>
        </w:rPr>
        <w:footnoteRef/>
        <w:t xml:space="preserve"> </w:t>
      </w:r>
      <w:r>
        <w:rPr/>
        <w:t xml:space="preserve"> Mischna, </w:t>
      </w:r>
      <w:r>
        <w:rPr>
          <w:i/>
        </w:rPr>
        <w:t xml:space="preserve">Sanhédrin</w:t>
      </w:r>
      <w:r>
        <w:rPr/>
        <w:t xml:space="preserve">, VI, 5.</w:t>
      </w:r>
    </w:p>
  </w:footnote>
  <w:footnote w:id="1206">
    <w:p>
      <w:pPr>
        <w:pStyle w:val="Notedebasdepage"/>
      </w:pPr>
      <w:r>
        <w:rPr>
          <w:rStyle w:val="Appelnotedebasdep"/>
        </w:rPr>
        <w:footnoteRef/>
        <w:t xml:space="preserve"> </w:t>
      </w:r>
      <w:r>
        <w:rPr/>
        <w:t xml:space="preserve">Probablement identique à l’antique Rama de Samuel, dans la tribu d’Ephraïm.</w:t>
      </w:r>
    </w:p>
  </w:footnote>
  <w:footnote w:id="1207">
    <w:p>
      <w:pPr>
        <w:pStyle w:val="Notedebasdepage"/>
      </w:pPr>
      <w:r>
        <w:rPr>
          <w:rStyle w:val="Appelnotedebasdep"/>
        </w:rPr>
        <w:footnoteRef/>
        <w:t xml:space="preserve"> </w:t>
      </w:r>
      <w:r>
        <w:rPr/>
        <w:t xml:space="preserve">Matth., XXVII, 57 et suiv. ; Marc, XV, 42 et suiv. ; Luc, XXIII, 50 et suiv. ; Jean, XIX, 38 et suiv.</w:t>
      </w:r>
    </w:p>
  </w:footnote>
  <w:footnote w:id="1208">
    <w:p>
      <w:pPr>
        <w:pStyle w:val="Notedebasdepage"/>
      </w:pPr>
      <w:r>
        <w:rPr>
          <w:rStyle w:val="Appelnotedebasdep"/>
        </w:rPr>
        <w:footnoteRef/>
        <w:t xml:space="preserve"> </w:t>
      </w:r>
      <w:r>
        <w:rPr/>
        <w:t xml:space="preserve"> Digeste, XLVIII, XXIV, </w:t>
      </w:r>
      <w:r>
        <w:rPr>
          <w:i/>
        </w:rPr>
        <w:t xml:space="preserve">De cadaveribus punitorum</w:t>
      </w:r>
      <w:r>
        <w:rPr/>
        <w:t xml:space="preserve">.</w:t>
      </w:r>
    </w:p>
  </w:footnote>
  <w:footnote w:id="1209">
    <w:p>
      <w:pPr>
        <w:pStyle w:val="Notedebasdepage"/>
      </w:pPr>
      <w:r>
        <w:rPr>
          <w:rStyle w:val="Appelnotedebasdep"/>
        </w:rPr>
        <w:footnoteRef/>
        <w:t xml:space="preserve"> </w:t>
      </w:r>
      <w:r>
        <w:rPr/>
        <w:t xml:space="preserve">Jean, XIX, 39 et suiv.</w:t>
      </w:r>
    </w:p>
  </w:footnote>
  <w:footnote w:id="1210">
    <w:p>
      <w:pPr>
        <w:pStyle w:val="Notedebasdepage"/>
      </w:pPr>
      <w:r>
        <w:rPr>
          <w:rStyle w:val="Appelnotedebasdep"/>
        </w:rPr>
        <w:footnoteRef/>
        <w:t xml:space="preserve"> </w:t>
      </w:r>
      <w:r>
        <w:rPr/>
        <w:t xml:space="preserve">Matth., XXVII, 61 ; Marc, XV, 47 ; Luc, XXIII, 55.</w:t>
      </w:r>
    </w:p>
  </w:footnote>
  <w:footnote w:id="1211">
    <w:p>
      <w:pPr>
        <w:pStyle w:val="Notedebasdepage"/>
      </w:pPr>
      <w:r>
        <w:rPr>
          <w:rStyle w:val="Appelnotedebasdep"/>
        </w:rPr>
        <w:footnoteRef/>
        <w:t xml:space="preserve"> </w:t>
      </w:r>
      <w:r>
        <w:rPr/>
        <w:t xml:space="preserve">Jean, XIX, 41-42.</w:t>
      </w:r>
    </w:p>
  </w:footnote>
  <w:footnote w:id="1212">
    <w:p>
      <w:pPr>
        <w:pStyle w:val="Notedebasdepage"/>
      </w:pPr>
      <w:r>
        <w:rPr>
          <w:rStyle w:val="Appelnotedebasdep"/>
        </w:rPr>
        <w:footnoteRef/>
        <w:t xml:space="preserve"> </w:t>
      </w:r>
      <w:r>
        <w:rPr/>
        <w:t xml:space="preserve">Une tradition (Matth., XXVII, 60) désigne comme propriétaire du caveau Joseph d’Arimathie lui-même.</w:t>
      </w:r>
    </w:p>
  </w:footnote>
  <w:footnote w:id="1213">
    <w:p>
      <w:pPr>
        <w:pStyle w:val="Notedebasdepage"/>
      </w:pPr>
      <w:r>
        <w:rPr>
          <w:rStyle w:val="Appelnotedebasdep"/>
        </w:rPr>
        <w:footnoteRef/>
        <w:t xml:space="preserve"> </w:t>
      </w:r>
      <w:r>
        <w:rPr/>
        <w:t xml:space="preserve"> Le caveau qui, à l’époque de Constantin, fut considéré comme le tombeau du Christ, offrait cette forme, ainsi qu’on peut le conclure de la description d’Arculfe (dans Mabillon, </w:t>
      </w:r>
      <w:r>
        <w:rPr>
          <w:i/>
        </w:rPr>
        <w:t xml:space="preserve">Acta SS. Ord. S. Bened.</w:t>
      </w:r>
      <w:r>
        <w:rPr/>
        <w:t xml:space="preserve">, sect. III, pars II, p. 504) et des vagues traditions qui restent à Jérusalem dans le clergé grec sur l’état du rocher actuellement dissimulé par l’édicule du Saint-Sépulcre. Mais les indices sur lesquels on se fonda sous Constantin pour identifier ce tombeau avec celui du Christ furent faibles ou nuls (voir surtout Sozomène, </w:t>
      </w:r>
      <w:r>
        <w:rPr>
          <w:i/>
        </w:rPr>
        <w:t xml:space="preserve">H. E.</w:t>
      </w:r>
      <w:r>
        <w:rPr/>
        <w:t xml:space="preserve">, II, 1). Lors même qu’on admettrait la position du Golgotha comme à peu près exacte, le Saint-Sépulcre n’aurait encore aucun caractère bien sérieux d’authenticité. En tout cas, l’aspect des lieux a été totalement modifié.</w:t>
      </w:r>
    </w:p>
  </w:footnote>
  <w:footnote w:id="1214">
    <w:p>
      <w:pPr>
        <w:pStyle w:val="Notedebasdepage"/>
      </w:pPr>
      <w:r>
        <w:rPr>
          <w:rStyle w:val="Appelnotedebasdep"/>
        </w:rPr>
        <w:footnoteRef/>
        <w:t xml:space="preserve"> </w:t>
      </w:r>
      <w:r>
        <w:rPr/>
        <w:t xml:space="preserve">Luc, XXIII, 56.</w:t>
      </w:r>
    </w:p>
  </w:footnote>
  <w:footnote w:id="1215">
    <w:p>
      <w:pPr>
        <w:pStyle w:val="Notedebasdepage"/>
      </w:pPr>
      <w:r>
        <w:rPr>
          <w:rStyle w:val="Appelnotedebasdep"/>
        </w:rPr>
        <w:footnoteRef/>
        <w:t xml:space="preserve"> </w:t>
      </w:r>
      <w:r>
        <w:rPr/>
        <w:t xml:space="preserve">Luc, XXIII, 54-56.</w:t>
      </w:r>
    </w:p>
  </w:footnote>
  <w:footnote w:id="1216">
    <w:p>
      <w:pPr>
        <w:pStyle w:val="Notedebasdepage"/>
      </w:pPr>
      <w:r>
        <w:rPr>
          <w:rStyle w:val="Appelnotedebasdep"/>
        </w:rPr>
        <w:footnoteRef/>
        <w:t xml:space="preserve"> </w:t>
      </w:r>
      <w:r>
        <w:rPr/>
        <w:t xml:space="preserve">Matthieu, XXVIII, 1 ; Marc, XVI, 1 ; Luc, XXIV, 1 ; Jean, XX, 1.</w:t>
      </w:r>
    </w:p>
  </w:footnote>
  <w:footnote w:id="1217">
    <w:p>
      <w:pPr>
        <w:pStyle w:val="Notedebasdepage"/>
      </w:pPr>
      <w:r>
        <w:rPr>
          <w:rStyle w:val="Appelnotedebasdep"/>
        </w:rPr>
        <w:footnoteRef/>
        <w:t xml:space="preserve"> </w:t>
      </w:r>
      <w:r>
        <w:rPr/>
        <w:t xml:space="preserve">Voir Matth., XXXVIII, 15 ; Jean, XX, 2.</w:t>
      </w:r>
    </w:p>
  </w:footnote>
  <w:footnote w:id="1218">
    <w:p>
      <w:pPr>
        <w:pStyle w:val="Notedebasdepage"/>
      </w:pPr>
      <w:r>
        <w:rPr>
          <w:rStyle w:val="Appelnotedebasdep"/>
        </w:rPr>
        <w:footnoteRef/>
        <w:t xml:space="preserve"> </w:t>
      </w:r>
      <w:r>
        <w:rPr/>
        <w:t xml:space="preserve">Elle avait été possédée de sept démons (Marc, XVI, 9 ; Luc, VIII, 2).</w:t>
      </w:r>
    </w:p>
  </w:footnote>
  <w:footnote w:id="1219">
    <w:p>
      <w:pPr>
        <w:pStyle w:val="Notedebasdepage"/>
      </w:pPr>
      <w:r>
        <w:rPr>
          <w:rStyle w:val="Appelnotedebasdep"/>
        </w:rPr>
        <w:footnoteRef/>
        <w:t xml:space="preserve"> </w:t>
      </w:r>
      <w:r>
        <w:rPr/>
        <w:t xml:space="preserve">Cela est sensible surtout dans les versets 9 et suivants du chapitre XVI de Marc. Ces versets forment une conclusion du second évangile, différente de la conclusion XVI, 1-8, après laquelle s’arrêtent beaucoup de manuscrits. Dans le quatrième évangile (XX, 1-2, 11 et suiv., 18), Marie de Magdala est aussi le seul témoin primitif de la résurrection.</w:t>
      </w:r>
    </w:p>
  </w:footnote>
  <w:footnote w:id="1220">
    <w:p>
      <w:pPr>
        <w:pStyle w:val="Notedebasdepage"/>
      </w:pPr>
      <w:r>
        <w:rPr>
          <w:rStyle w:val="Appelnotedebasdep"/>
        </w:rPr>
        <w:footnoteRef/>
        <w:t xml:space="preserve"> </w:t>
      </w:r>
      <w:r>
        <w:rPr/>
        <w:t xml:space="preserve">L’an 33 répond bien à une des données du problème, savoir que le 14 de nisan ait été un vendredi. Si on rejette l’an 33, pour trouver une année qui remplisse ladite condition, il faut au moins remonter à l’an 29 ou descendre à l’an 36.</w:t>
      </w:r>
    </w:p>
  </w:footnote>
  <w:footnote w:id="1221">
    <w:p>
      <w:pPr>
        <w:pStyle w:val="Notedebasdepage"/>
      </w:pPr>
      <w:r>
        <w:rPr>
          <w:rStyle w:val="Appelnotedebasdep"/>
        </w:rPr>
        <w:footnoteRef/>
        <w:t xml:space="preserve"> </w:t>
      </w:r>
      <w:r>
        <w:rPr/>
        <w:t xml:space="preserve">Luc, III, 1.</w:t>
      </w:r>
    </w:p>
  </w:footnote>
  <w:footnote w:id="1222">
    <w:p>
      <w:pPr>
        <w:pStyle w:val="Notedebasdepage"/>
      </w:pPr>
      <w:r>
        <w:rPr>
          <w:rStyle w:val="Appelnotedebasdep"/>
        </w:rPr>
        <w:footnoteRef/>
        <w:t xml:space="preserve"> </w:t>
      </w:r>
      <w:r>
        <w:rPr/>
        <w:t xml:space="preserve"> Jos., </w:t>
      </w:r>
      <w:r>
        <w:rPr>
          <w:i/>
        </w:rPr>
        <w:t xml:space="preserve">Ant.</w:t>
      </w:r>
      <w:r>
        <w:rPr/>
        <w:t xml:space="preserve">, XVIII, IV, 2 et 3.</w:t>
      </w:r>
    </w:p>
  </w:footnote>
  <w:footnote w:id="1223">
    <w:p>
      <w:pPr>
        <w:pStyle w:val="Notedebasdepage"/>
      </w:pPr>
      <w:r>
        <w:rPr>
          <w:rStyle w:val="Appelnotedebasdep"/>
        </w:rPr>
        <w:footnoteRef/>
        <w:t xml:space="preserve"> </w:t>
      </w:r>
      <w:r>
        <w:rPr/>
        <w:t xml:space="preserve"> L’assertion contraire de Tertullien et d’Eusèbe découle d’un apocryphe sans valeur (V. Thilo, </w:t>
      </w:r>
      <w:r>
        <w:rPr>
          <w:i/>
        </w:rPr>
        <w:t xml:space="preserve">Cod. apocr., N.T.</w:t>
      </w:r>
      <w:r>
        <w:rPr/>
        <w:t xml:space="preserve">, p. 813 et suiv.). Le suicide de Pilate (Eusèbe, </w:t>
      </w:r>
      <w:r>
        <w:rPr>
          <w:i/>
        </w:rPr>
        <w:t xml:space="preserve">H. E.</w:t>
      </w:r>
      <w:r>
        <w:rPr/>
        <w:t xml:space="preserve">, II, 7 ; </w:t>
      </w:r>
      <w:r>
        <w:rPr>
          <w:i/>
        </w:rPr>
        <w:t xml:space="preserve">Chron.</w:t>
      </w:r>
      <w:r>
        <w:rPr/>
        <w:t xml:space="preserve">, ad ann. 1 Caii) paraît aussi provenir d’actes légendaires.</w:t>
      </w:r>
    </w:p>
  </w:footnote>
  <w:footnote w:id="1224">
    <w:p>
      <w:pPr>
        <w:pStyle w:val="Notedebasdepage"/>
      </w:pPr>
      <w:r>
        <w:rPr>
          <w:rStyle w:val="Appelnotedebasdep"/>
        </w:rPr>
        <w:footnoteRef/>
        <w:t xml:space="preserve"> </w:t>
      </w:r>
      <w:r>
        <w:rPr/>
        <w:t xml:space="preserve"> Jos., </w:t>
      </w:r>
      <w:r>
        <w:rPr>
          <w:i/>
        </w:rPr>
        <w:t xml:space="preserve">Ant.</w:t>
      </w:r>
      <w:r>
        <w:rPr/>
        <w:t xml:space="preserve">, XX, IV, 1.</w:t>
      </w:r>
    </w:p>
  </w:footnote>
  <w:footnote w:id="1225">
    <w:p>
      <w:pPr>
        <w:pStyle w:val="Notedebasdepage"/>
      </w:pPr>
      <w:r>
        <w:rPr>
          <w:rStyle w:val="Appelnotedebasdep"/>
        </w:rPr>
        <w:footnoteRef/>
        <w:t xml:space="preserve"> </w:t>
      </w:r>
      <w:r>
        <w:rPr/>
        <w:t xml:space="preserve"> Jos., </w:t>
      </w:r>
      <w:r>
        <w:rPr>
          <w:i/>
        </w:rPr>
        <w:t xml:space="preserve">l.c.</w:t>
      </w:r>
    </w:p>
  </w:footnote>
  <w:footnote w:id="1226">
    <w:p>
      <w:pPr>
        <w:pStyle w:val="Notedebasdepage"/>
      </w:pPr>
      <w:r>
        <w:rPr>
          <w:rStyle w:val="Appelnotedebasdep"/>
        </w:rPr>
        <w:footnoteRef/>
        <w:t xml:space="preserve"> </w:t>
      </w:r>
      <w:r>
        <w:rPr/>
        <w:t xml:space="preserve"> Jos., </w:t>
      </w:r>
      <w:r>
        <w:rPr>
          <w:i/>
        </w:rPr>
        <w:t xml:space="preserve">Ant.</w:t>
      </w:r>
      <w:r>
        <w:rPr/>
        <w:t xml:space="preserve">, XVIII, </w:t>
      </w:r>
      <w:r>
        <w:rPr/>
        <w:t xml:space="preserve">vii</w:t>
      </w:r>
      <w:r>
        <w:rPr/>
        <w:t xml:space="preserve">, 1, 2 ; </w:t>
      </w:r>
      <w:r>
        <w:rPr>
          <w:i/>
        </w:rPr>
        <w:t xml:space="preserve">B.J.</w:t>
      </w:r>
      <w:r>
        <w:rPr/>
        <w:t xml:space="preserve">, II, </w:t>
      </w:r>
      <w:r>
        <w:rPr/>
        <w:t xml:space="preserve">ix</w:t>
      </w:r>
      <w:r>
        <w:rPr/>
        <w:t xml:space="preserve">, 6.</w:t>
      </w:r>
    </w:p>
  </w:footnote>
  <w:footnote w:id="1227">
    <w:p>
      <w:pPr>
        <w:pStyle w:val="Notedebasdepage"/>
      </w:pPr>
      <w:r>
        <w:rPr>
          <w:rStyle w:val="Appelnotedebasdep"/>
        </w:rPr>
        <w:footnoteRef/>
        <w:t xml:space="preserve"> </w:t>
      </w:r>
      <w:r>
        <w:rPr/>
        <w:t xml:space="preserve"> S. Jérôme, </w:t>
      </w:r>
      <w:r>
        <w:rPr>
          <w:i/>
        </w:rPr>
        <w:t xml:space="preserve">De situ et nom. loc. hebr.</w:t>
      </w:r>
      <w:r>
        <w:rPr/>
        <w:t xml:space="preserve">, au mot </w:t>
      </w:r>
      <w:r>
        <w:rPr>
          <w:i/>
        </w:rPr>
        <w:t xml:space="preserve">Acheldama</w:t>
      </w:r>
      <w:r>
        <w:rPr/>
        <w:t xml:space="preserve">. Eusèbe (</w:t>
      </w:r>
      <w:r>
        <w:rPr>
          <w:i/>
        </w:rPr>
        <w:t xml:space="preserve">ibid.</w:t>
      </w:r>
      <w:r>
        <w:rPr/>
        <w:t xml:space="preserve">) dit au nord. Mais les Itinéraires confirment la leçon de S. Jérôme. La tradition qui nomme </w:t>
      </w:r>
      <w:r>
        <w:rPr>
          <w:i/>
        </w:rPr>
        <w:t xml:space="preserve">Haceldama</w:t>
      </w:r>
      <w:r>
        <w:rPr/>
        <w:t xml:space="preserve"> la nécropole située au bas de la vallée de Hinnom remonte au moins à l’époque de Constantin.</w:t>
      </w:r>
    </w:p>
  </w:footnote>
  <w:footnote w:id="1228">
    <w:p>
      <w:pPr>
        <w:pStyle w:val="Notedebasdepage"/>
      </w:pPr>
      <w:r>
        <w:rPr>
          <w:rStyle w:val="Appelnotedebasdep"/>
        </w:rPr>
        <w:footnoteRef/>
        <w:t xml:space="preserve"> </w:t>
      </w:r>
      <w:r>
        <w:rPr>
          <w:i/>
        </w:rPr>
        <w:t xml:space="preserve">Act.</w:t>
      </w:r>
      <w:r>
        <w:rPr/>
        <w:t xml:space="preserve">, </w:t>
      </w:r>
      <w:r>
        <w:rPr/>
        <w:t xml:space="preserve">i</w:t>
      </w:r>
      <w:r>
        <w:rPr/>
        <w:t xml:space="preserve">, 18-19. Matthieu, ou plutôt son interpolateur, a ici donné un tour moins satisfaisant à la tradition, afin d’y rattacher la circonstance d’un cimetière pour les étrangers, qui se trouvait près de là.</w:t>
      </w:r>
    </w:p>
  </w:footnote>
  <w:footnote w:id="1229">
    <w:p>
      <w:pPr>
        <w:pStyle w:val="Notedebasdepage"/>
      </w:pPr>
      <w:r>
        <w:rPr>
          <w:rStyle w:val="Appelnotedebasdep"/>
        </w:rPr>
        <w:footnoteRef/>
        <w:t xml:space="preserve"> </w:t>
      </w:r>
      <w:r>
        <w:rPr/>
        <w:t xml:space="preserve">Matth., XXVII, 5.</w:t>
      </w:r>
    </w:p>
  </w:footnote>
  <w:footnote w:id="1230">
    <w:p>
      <w:pPr>
        <w:pStyle w:val="Notedebasdepage"/>
      </w:pPr>
      <w:r>
        <w:rPr>
          <w:rStyle w:val="Appelnotedebasdep"/>
        </w:rPr>
        <w:footnoteRef/>
        <w:t xml:space="preserve"> </w:t>
      </w:r>
      <w:r>
        <w:rPr>
          <w:i/>
        </w:rPr>
        <w:t xml:space="preserve">Act.</w:t>
      </w:r>
      <w:r>
        <w:rPr/>
        <w:t xml:space="preserve">, 1. c. ; Papias, dans Œcumenius, </w:t>
      </w:r>
      <w:r>
        <w:rPr>
          <w:i/>
        </w:rPr>
        <w:t xml:space="preserve">Enarr. in Act. Apost.</w:t>
      </w:r>
      <w:r>
        <w:rPr/>
        <w:t xml:space="preserve">, II, et dans Fr. Münter, </w:t>
      </w:r>
      <w:r>
        <w:rPr>
          <w:i/>
        </w:rPr>
        <w:t xml:space="preserve">Fragm. Patrum græc.</w:t>
      </w:r>
      <w:r>
        <w:rPr/>
        <w:t xml:space="preserve"> (Hafniæ, 1788), fasc. I, p. 17 et suiv. ; Théophylacte, In Matth., XXVII, 5.</w:t>
      </w:r>
    </w:p>
  </w:footnote>
  <w:footnote w:id="1231">
    <w:p>
      <w:pPr>
        <w:pStyle w:val="Notedebasdepage"/>
      </w:pPr>
      <w:r>
        <w:rPr>
          <w:rStyle w:val="Appelnotedebasdep"/>
        </w:rPr>
        <w:footnoteRef/>
        <w:t xml:space="preserve"> </w:t>
      </w:r>
      <w:r>
        <w:rPr/>
        <w:t xml:space="preserve"> Papias, dans Münter, </w:t>
      </w:r>
      <w:r>
        <w:rPr>
          <w:i/>
        </w:rPr>
        <w:t xml:space="preserve">l. c.</w:t>
      </w:r>
      <w:r>
        <w:rPr/>
        <w:t xml:space="preserve"> ; Théophylacte, </w:t>
      </w:r>
      <w:r>
        <w:rPr>
          <w:i/>
        </w:rPr>
        <w:t xml:space="preserve">l. c.</w:t>
      </w:r>
    </w:p>
  </w:footnote>
  <w:footnote w:id="1232">
    <w:p>
      <w:pPr>
        <w:pStyle w:val="Notedebasdepage"/>
      </w:pPr>
      <w:r>
        <w:rPr>
          <w:rStyle w:val="Appelnotedebasdep"/>
        </w:rPr>
        <w:footnoteRef/>
        <w:t xml:space="preserve"> </w:t>
      </w:r>
      <w:r>
        <w:rPr/>
        <w:t xml:space="preserve">Psaumes LXIX et CIX.</w:t>
      </w:r>
    </w:p>
  </w:footnote>
  <w:footnote w:id="1233">
    <w:p>
      <w:pPr>
        <w:pStyle w:val="Notedebasdepage"/>
      </w:pPr>
      <w:r>
        <w:rPr>
          <w:rStyle w:val="Appelnotedebasdep"/>
        </w:rPr>
        <w:footnoteRef/>
        <w:t xml:space="preserve"> </w:t>
      </w:r>
      <w:r>
        <w:rPr/>
        <w:t xml:space="preserve">Ce sentiment populaire vivait encore en Bretagne au temps de mon enfance. Le gendarme y était considéré, comme ailleurs le juif, avec une sorte de répulsion pieuse ; car c’est lui qui arrêta Jésus !</w:t>
      </w:r>
    </w:p>
  </w:footnote>
  <w:footnote w:id="1234">
    <w:p>
      <w:pPr>
        <w:pStyle w:val="Notedebasdepage"/>
      </w:pPr>
      <w:r>
        <w:rPr>
          <w:rStyle w:val="Appelnotedebasdep"/>
        </w:rPr>
        <w:footnoteRef/>
        <w:t xml:space="preserve"> </w:t>
      </w:r>
      <w:r>
        <w:rPr/>
        <w:t xml:space="preserve"> Matth., VIII, 5 et suiv. ; Luc, VII, 1 et suiv. ; Jean, XII, 20 et suiv. Comp. Jos., </w:t>
      </w:r>
      <w:r>
        <w:rPr>
          <w:i/>
        </w:rPr>
        <w:t xml:space="preserve">Ant.</w:t>
      </w:r>
      <w:r>
        <w:rPr/>
        <w:t xml:space="preserve">, XVIII, </w:t>
      </w:r>
      <w:r>
        <w:rPr/>
        <w:t xml:space="preserve">iii</w:t>
      </w:r>
      <w:r>
        <w:rPr/>
        <w:t xml:space="preserve">, 3.</w:t>
      </w:r>
    </w:p>
  </w:footnote>
  <w:footnote w:id="1235">
    <w:p>
      <w:pPr>
        <w:pStyle w:val="Notedebasdepage"/>
      </w:pPr>
      <w:r>
        <w:rPr>
          <w:rStyle w:val="Appelnotedebasdep"/>
        </w:rPr>
        <w:footnoteRef/>
        <w:t xml:space="preserve"> </w:t>
      </w:r>
      <w:r>
        <w:rPr/>
        <w:t xml:space="preserve"> Tacite, </w:t>
      </w:r>
      <w:r>
        <w:rPr>
          <w:i/>
        </w:rPr>
        <w:t xml:space="preserve">Ann.</w:t>
      </w:r>
      <w:r>
        <w:rPr/>
        <w:t xml:space="preserve">, XV, 45 ; Suétone, </w:t>
      </w:r>
      <w:r>
        <w:rPr>
          <w:i/>
        </w:rPr>
        <w:t xml:space="preserve">Claude</w:t>
      </w:r>
      <w:r>
        <w:rPr/>
        <w:t xml:space="preserve">, 25.</w:t>
      </w:r>
    </w:p>
  </w:footnote>
  <w:footnote w:id="1236">
    <w:p>
      <w:pPr>
        <w:pStyle w:val="Notedebasdepage"/>
      </w:pPr>
      <w:r>
        <w:rPr>
          <w:rStyle w:val="Appelnotedebasdep"/>
        </w:rPr>
        <w:footnoteRef/>
        <w:t xml:space="preserve"> </w:t>
      </w:r>
      <w:r>
        <w:rPr>
          <w:i/>
        </w:rPr>
        <w:t xml:space="preserve">Ant.</w:t>
      </w:r>
      <w:r>
        <w:rPr/>
        <w:t xml:space="preserve">, XVIII, </w:t>
      </w:r>
      <w:r>
        <w:rPr/>
        <w:t xml:space="preserve">iii</w:t>
      </w:r>
      <w:r>
        <w:rPr/>
        <w:t xml:space="preserve">, 3. Ce passage a été altéré par une main chrétienne.</w:t>
      </w:r>
    </w:p>
  </w:footnote>
  <w:footnote w:id="1237">
    <w:p>
      <w:pPr>
        <w:pStyle w:val="Notedebasdepage"/>
      </w:pPr>
      <w:r>
        <w:rPr>
          <w:rStyle w:val="Appelnotedebasdep"/>
        </w:rPr>
        <w:footnoteRef/>
        <w:t xml:space="preserve"> </w:t>
      </w:r>
      <w:r>
        <w:rPr>
          <w:i/>
        </w:rPr>
        <w:t xml:space="preserve">Ant.</w:t>
      </w:r>
      <w:r>
        <w:rPr/>
        <w:t xml:space="preserve">, XVIII, </w:t>
      </w:r>
      <w:r>
        <w:rPr/>
        <w:t xml:space="preserve">i</w:t>
      </w:r>
      <w:r>
        <w:rPr/>
        <w:t xml:space="preserve"> ; </w:t>
      </w:r>
      <w:r>
        <w:rPr>
          <w:i/>
        </w:rPr>
        <w:t xml:space="preserve">B.J.</w:t>
      </w:r>
      <w:r>
        <w:rPr/>
        <w:t xml:space="preserve">, II, </w:t>
      </w:r>
      <w:r>
        <w:rPr/>
        <w:t xml:space="preserve">viii</w:t>
      </w:r>
      <w:r>
        <w:rPr/>
        <w:t xml:space="preserve"> ; </w:t>
      </w:r>
      <w:r>
        <w:rPr>
          <w:i/>
        </w:rPr>
        <w:t xml:space="preserve">Vita</w:t>
      </w:r>
      <w:r>
        <w:rPr/>
        <w:t xml:space="preserve">, 2.</w:t>
      </w:r>
    </w:p>
  </w:footnote>
  <w:footnote w:id="1238">
    <w:p>
      <w:pPr>
        <w:pStyle w:val="Notedebasdepage"/>
      </w:pPr>
      <w:r>
        <w:rPr>
          <w:rStyle w:val="Appelnotedebasdep"/>
        </w:rPr>
        <w:footnoteRef/>
        <w:t xml:space="preserve"> </w:t>
      </w:r>
      <w:r>
        <w:rPr/>
        <w:t xml:space="preserve"> Talm. de Jérusalem, </w:t>
      </w:r>
      <w:r>
        <w:rPr>
          <w:i/>
        </w:rPr>
        <w:t xml:space="preserve">Sanhédrin</w:t>
      </w:r>
      <w:r>
        <w:rPr/>
        <w:t xml:space="preserve">, XIV, 16 ; </w:t>
      </w:r>
      <w:r>
        <w:rPr>
          <w:i/>
        </w:rPr>
        <w:t xml:space="preserve">Aboda zara</w:t>
      </w:r>
      <w:r>
        <w:rPr/>
        <w:t xml:space="preserve">, II, 2 ; </w:t>
      </w:r>
      <w:r>
        <w:rPr>
          <w:i/>
        </w:rPr>
        <w:t xml:space="preserve">Schabbath</w:t>
      </w:r>
      <w:r>
        <w:rPr/>
        <w:t xml:space="preserve">, XIV, 4 ; Talm. de Babylone, </w:t>
      </w:r>
      <w:r>
        <w:rPr>
          <w:i/>
        </w:rPr>
        <w:t xml:space="preserve">Sanhédrin</w:t>
      </w:r>
      <w:r>
        <w:rPr/>
        <w:t xml:space="preserve">, 43 </w:t>
      </w:r>
      <w:r>
        <w:rPr>
          <w:i/>
        </w:rPr>
        <w:t xml:space="preserve">a</w:t>
      </w:r>
      <w:r>
        <w:rPr/>
        <w:t xml:space="preserve">, 67 </w:t>
      </w:r>
      <w:r>
        <w:rPr>
          <w:i/>
        </w:rPr>
        <w:t xml:space="preserve">a</w:t>
      </w:r>
      <w:r>
        <w:rPr/>
        <w:t xml:space="preserve"> ; </w:t>
      </w:r>
      <w:r>
        <w:rPr>
          <w:i/>
        </w:rPr>
        <w:t xml:space="preserve">Schabbath</w:t>
      </w:r>
      <w:r>
        <w:rPr/>
        <w:t xml:space="preserve">, 104 </w:t>
      </w:r>
      <w:r>
        <w:rPr>
          <w:i/>
        </w:rPr>
        <w:t xml:space="preserve">b</w:t>
      </w:r>
      <w:r>
        <w:rPr/>
        <w:t xml:space="preserve">, 116 </w:t>
      </w:r>
      <w:r>
        <w:rPr>
          <w:i/>
        </w:rPr>
        <w:t xml:space="preserve">b</w:t>
      </w:r>
      <w:r>
        <w:rPr/>
        <w:t xml:space="preserve">. Comp. </w:t>
      </w:r>
      <w:r>
        <w:rPr>
          <w:i/>
        </w:rPr>
        <w:t xml:space="preserve">Chagiga</w:t>
      </w:r>
      <w:r>
        <w:rPr/>
        <w:t xml:space="preserve">, 4 </w:t>
      </w:r>
      <w:r>
        <w:rPr>
          <w:i/>
        </w:rPr>
        <w:t xml:space="preserve">b</w:t>
      </w:r>
      <w:r>
        <w:rPr/>
        <w:t xml:space="preserve"> ; </w:t>
      </w:r>
      <w:r>
        <w:rPr>
          <w:i/>
        </w:rPr>
        <w:t xml:space="preserve">Gittin</w:t>
      </w:r>
      <w:r>
        <w:rPr/>
        <w:t xml:space="preserve">, 57 </w:t>
      </w:r>
      <w:r>
        <w:rPr>
          <w:i/>
        </w:rPr>
        <w:t xml:space="preserve">a</w:t>
      </w:r>
      <w:r>
        <w:rPr/>
        <w:t xml:space="preserve">, 90 </w:t>
      </w:r>
      <w:r>
        <w:rPr>
          <w:i/>
        </w:rPr>
        <w:t xml:space="preserve">a</w:t>
      </w:r>
      <w:r>
        <w:rPr/>
        <w:t xml:space="preserve">. Les deux Gémares empruntent la plupart de leurs données sur Jésus à une légende burlesque et obscène, inventée par les adversaires du christianisme et sans valeur historique.</w:t>
      </w:r>
    </w:p>
  </w:footnote>
  <w:footnote w:id="1239">
    <w:p>
      <w:pPr>
        <w:pStyle w:val="Notedebasdepage"/>
      </w:pPr>
      <w:r>
        <w:rPr>
          <w:rStyle w:val="Appelnotedebasdep"/>
        </w:rPr>
        <w:footnoteRef/>
        <w:t xml:space="preserve"> </w:t>
      </w:r>
      <w:r>
        <w:rPr/>
        <w:t xml:space="preserve"> Jos., </w:t>
      </w:r>
      <w:r>
        <w:rPr>
          <w:i/>
        </w:rPr>
        <w:t xml:space="preserve">Ant.</w:t>
      </w:r>
      <w:r>
        <w:rPr/>
        <w:t xml:space="preserve">, XVIII, </w:t>
      </w:r>
      <w:r>
        <w:rPr/>
        <w:t xml:space="preserve">iii</w:t>
      </w:r>
      <w:r>
        <w:rPr/>
        <w:t xml:space="preserve">, 3.</w:t>
      </w:r>
    </w:p>
  </w:footnote>
  <w:footnote w:id="1240">
    <w:p>
      <w:pPr>
        <w:pStyle w:val="Notedebasdepage"/>
      </w:pPr>
      <w:r>
        <w:rPr>
          <w:rStyle w:val="Appelnotedebasdep"/>
        </w:rPr>
        <w:footnoteRef/>
        <w:t xml:space="preserve"> </w:t>
      </w:r>
      <w:r>
        <w:rPr/>
        <w:t xml:space="preserve"> Philostrate, </w:t>
      </w:r>
      <w:r>
        <w:rPr>
          <w:i/>
        </w:rPr>
        <w:t xml:space="preserve">Vie d’Apollonius</w:t>
      </w:r>
      <w:r>
        <w:rPr/>
        <w:t xml:space="preserve">, IV, 2 ; VII, 11 ; VIII, 7 ; Eunape, </w:t>
      </w:r>
      <w:r>
        <w:rPr>
          <w:i/>
        </w:rPr>
        <w:t xml:space="preserve">Vies des sophistes</w:t>
      </w:r>
      <w:r>
        <w:rPr/>
        <w:t xml:space="preserve">, p. 454, 500 (édit. Didot).</w:t>
      </w:r>
    </w:p>
  </w:footnote>
</w:footnot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www.gutenberg.org/ebooks/15113"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