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Ceci n’est vrai que du passé. La vieille Angleterre, paraît-il, n’existe plus de nos jours (septembre !871).</w:t>
      </w:r>
    </w:p>
  </w:footnote>
  <w:footnote w:id="2">
    <w:p>
      <w:pPr>
        <w:pStyle w:val="Notedebasdepage"/>
      </w:pPr>
      <w:r>
        <w:rPr>
          <w:rStyle w:val="Appelnotedebasdep"/>
        </w:rPr>
        <w:footnoteRef/>
        <w:t xml:space="preserve"> </w:t>
      </w:r>
      <w:r>
        <w:rPr/>
        <w:t xml:space="preserve">Il faut dire qu’il ne faisait que répondre à une provocation venant d’Allemagne.</w:t>
      </w:r>
    </w:p>
  </w:footnote>
  <w:footnote w:id="3">
    <w:p>
      <w:pPr>
        <w:pStyle w:val="Notedebasdepage"/>
      </w:pPr>
      <w:r>
        <w:rPr>
          <w:rStyle w:val="Appelnotedebasdep"/>
        </w:rPr>
        <w:footnoteRef/>
        <w:t xml:space="preserve"> </w:t>
      </w:r>
      <w:r>
        <w:rPr/>
        <w:t xml:space="preserve">La possession de Posen par la Prusse ne saurait en aucune manière être assimilée à la possession de l’Alsace par la France. L'Alsace est francisée et ne proteste plus contre son annexion, tandis que Posen n’est pas germanisé et proteste. Le parallèle de l’Alsace est la Silésie, province slave de race et de langue, mais suffisamment germanisée, et dont personne ne conteste plus la légitime propriété à la Prusse.</w:t>
      </w:r>
    </w:p>
  </w:footnote>
  <w:footnote w:id="4">
    <w:p>
      <w:pPr>
        <w:pStyle w:val="Notedebasdepage"/>
      </w:pPr>
      <w:r>
        <w:rPr>
          <w:rStyle w:val="Appelnotedebasdep"/>
        </w:rPr>
        <w:footnoteRef/>
        <w:t xml:space="preserve"> </w:t>
      </w:r>
      <w:r>
        <w:rPr/>
        <w:t xml:space="preserve">Leipzig, Hirzel, 1870.</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