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rStyle w:val="title-c"/>
        </w:rPr>
        <w:t>Jérémie</w:t>
      </w:r>
      <w:r>
        <w:rPr/>
        <w:t xml:space="preserve">, LI, 58.</w:t>
      </w:r>
    </w:p>
  </w:footnote>
  <w:footnote w:id="2">
    <w:p>
      <w:pPr>
        <w:pStyle w:val="Notedebasdepage"/>
      </w:pPr>
      <w:r>
        <w:rPr>
          <w:rStyle w:val="Appelnotedebasdep"/>
        </w:rPr>
        <w:footnoteRef/>
        <w:t xml:space="preserve"> </w:t>
      </w:r>
      <w:r>
        <w:rPr/>
        <w:t xml:space="preserve"> Les troubles de l’</w:t>
      </w:r>
      <w:r>
        <w:rPr/>
        <w:t xml:space="preserve">École de pharmacie</w:t>
      </w:r>
      <w:r>
        <w:rPr/>
        <w:t xml:space="preserve">.</w:t>
      </w:r>
    </w:p>
  </w:footnote>
  <w:footnote w:id="3">
    <w:p>
      <w:pPr>
        <w:pStyle w:val="Notedebasdepage"/>
      </w:pPr>
      <w:r>
        <w:rPr>
          <w:rStyle w:val="Appelnotedebasdep"/>
        </w:rPr>
        <w:footnoteRef/>
        <w:t xml:space="preserve"> </w:t>
      </w:r>
      <w:r>
        <w:rPr/>
        <w:t xml:space="preserve"> Ce remerciement s’adresse à un comité d’anciens auditeurs de MM. </w:t>
      </w:r>
      <w:r>
        <w:rPr/>
        <w:t xml:space="preserve">Michelet</w:t>
      </w:r>
      <w:r>
        <w:rPr/>
        <w:t xml:space="preserve">, </w:t>
      </w:r>
      <w:r>
        <w:rPr/>
        <w:t xml:space="preserve">Quinet</w:t>
      </w:r>
      <w:r>
        <w:rPr/>
        <w:t xml:space="preserve">, </w:t>
      </w:r>
      <w:r>
        <w:rPr/>
        <w:t xml:space="preserve">Mickiewicz</w:t>
      </w:r>
      <w:r>
        <w:rPr/>
        <w:t xml:space="preserve">, qui avaient pris l’initiative du médaillon commémoratif.</w:t>
      </w:r>
    </w:p>
  </w:footnote>
  <w:footnote w:id="4">
    <w:p>
      <w:pPr>
        <w:pStyle w:val="Notedebasdepage"/>
      </w:pPr>
      <w:r>
        <w:rPr>
          <w:rStyle w:val="Appelnotedebasdep"/>
        </w:rPr>
        <w:footnoteRef/>
        <w:t xml:space="preserve"> </w:t>
      </w:r>
      <w:r>
        <w:rPr/>
        <w:t xml:space="preserve">M. le baron Alphonse de Rothschild</w:t>
      </w:r>
      <w:r>
        <w:rPr/>
        <w:t xml:space="preserve"> avait ouvert la séance par une allocution.</w:t>
      </w:r>
    </w:p>
  </w:footnote>
  <w:footnote w:id="5">
    <w:p>
      <w:pPr>
        <w:pStyle w:val="Notedebasdepage"/>
      </w:pPr>
      <w:r>
        <w:rPr>
          <w:rStyle w:val="Appelnotedebasdep"/>
        </w:rPr>
        <w:footnoteRef/>
        <w:t xml:space="preserve"> </w:t>
      </w:r>
      <w:r>
        <w:rPr/>
        <w:t xml:space="preserve"> Se rappeler aussi la belle formule : </w:t>
      </w:r>
      <w:r>
        <w:rPr>
          <w:i/>
        </w:rPr>
        <w:t xml:space="preserve">Lo iegurka ra</w:t>
      </w:r>
      <w:r>
        <w:rPr/>
        <w:t xml:space="preserve">, « un méchant ne saurait être ton </w:t>
      </w:r>
      <w:r>
        <w:rPr>
          <w:i/>
        </w:rPr>
        <w:t xml:space="preserve">ger</w:t>
      </w:r>
      <w:r>
        <w:rPr/>
        <w:t xml:space="preserve"> ». Ps. v, 5.</w:t>
      </w:r>
    </w:p>
  </w:footnote>
  <w:footnote w:id="6">
    <w:p>
      <w:pPr>
        <w:pStyle w:val="Notedebasdepage"/>
      </w:pPr>
      <w:r>
        <w:rPr>
          <w:rStyle w:val="Appelnotedebasdep"/>
        </w:rPr>
        <w:footnoteRef/>
        <w:t xml:space="preserve"> </w:t>
      </w:r>
      <w:r>
        <w:rPr/>
        <w:t xml:space="preserve"> Voir le mémoire de </w:t>
      </w:r>
      <w:r>
        <w:rPr/>
        <w:t xml:space="preserve">M. Jourdain</w:t>
      </w:r>
      <w:r>
        <w:rPr/>
        <w:t xml:space="preserve"> sur les commencements de l’économie politique dans les écoles du moyen âge, dans les </w:t>
      </w:r>
      <w:r>
        <w:rPr>
          <w:rStyle w:val="title-c"/>
        </w:rPr>
        <w:t>Mém. de l’Acad. des inscr, et belles lettres</w:t>
      </w:r>
      <w:r>
        <w:rPr/>
        <w:t xml:space="preserve">, t. XXYIII, 2</w:t>
      </w:r>
      <w:r>
        <w:rPr>
          <w:vertAlign w:val="superscript"/>
        </w:rPr>
        <w:t>e</w:t>
      </w:r>
      <w:r>
        <w:rPr/>
        <w:t xml:space="preserve"> partie.</w:t>
      </w:r>
    </w:p>
  </w:footnote>
  <w:footnote w:id="7">
    <w:p>
      <w:pPr>
        <w:pStyle w:val="Notedebasdepage"/>
      </w:pPr>
      <w:r>
        <w:rPr>
          <w:rStyle w:val="Appelnotedebasdep"/>
        </w:rPr>
        <w:footnoteRef/>
        <w:t xml:space="preserve"> </w:t>
      </w:r>
      <w:r>
        <w:rPr/>
        <w:t xml:space="preserve">Ceci s’applique naturellement aux juifs français, tels que les a faits la Révolution ; mais nous sommes persuadés que tout pays qui voudra renouveler l’expérience, renoncer à la religion d’État, laïciser la vie civile et pratiquer l’égalité de tous les citoyens devant la loi, arrivera au même résultat et trouvera d’excellents patriotes dans le culte israélite comme dans les autres cultes.</w:t>
      </w:r>
    </w:p>
  </w:footnote>
  <w:footnote w:id="8">
    <w:p>
      <w:pPr>
        <w:pStyle w:val="Notedebasdepage"/>
      </w:pPr>
      <w:r>
        <w:rPr>
          <w:rStyle w:val="Appelnotedebasdep"/>
        </w:rPr>
        <w:footnoteRef/>
        <w:t xml:space="preserve"> </w:t>
      </w:r>
      <w:r>
        <w:rPr/>
        <w:t xml:space="preserve">Le travail sur les </w:t>
      </w:r>
      <w:r>
        <w:rPr/>
        <w:t xml:space="preserve">juifs de France</w:t>
      </w:r>
      <w:r>
        <w:rPr/>
        <w:t xml:space="preserve"> dans la première moitié du moyen âge, inséré dans le tome </w:t>
      </w:r>
      <w:r>
        <w:rPr/>
        <w:t xml:space="preserve">xxvii</w:t>
      </w:r>
      <w:r>
        <w:rPr>
          <w:vertAlign w:val="superscript"/>
        </w:rPr>
        <w:t>e</w:t>
      </w:r>
      <w:r>
        <w:rPr/>
        <w:t xml:space="preserve"> de </w:t>
      </w:r>
      <w:r>
        <w:rPr>
          <w:rStyle w:val="title-c"/>
        </w:rPr>
        <w:t>L’Histoire littéraire de la France</w:t>
      </w:r>
      <w:r>
        <w:rPr/>
        <w:t xml:space="preserve">, montre que, jusqu’aux ordonnances de </w:t>
      </w:r>
      <w:r>
        <w:rPr/>
        <w:t xml:space="preserve">Phillippe le Bel</w:t>
      </w:r>
      <w:r>
        <w:rPr/>
        <w:t xml:space="preserve">, les </w:t>
      </w:r>
      <w:r>
        <w:rPr/>
        <w:t xml:space="preserve">juifs de France</w:t>
      </w:r>
      <w:r>
        <w:rPr/>
        <w:t xml:space="preserve"> exerçaient les mêmes métiers et professions que les autres Français.</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archive.org/details/discoursetconf00renauoft"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