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 Sic. </w:t>
      </w:r>
      <w:r>
        <w:rPr>
          <w:i/>
        </w:rPr>
        <w:t xml:space="preserve">(Note du correcteur - ELG.)</w:t>
      </w:r>
    </w:p>
  </w:footnote>
  <w:footnote w:id="2">
    <w:p>
      <w:pPr>
        <w:pStyle w:val="Notedebasdepage"/>
      </w:pPr>
      <w:r>
        <w:rPr>
          <w:rStyle w:val="Appelnotedebasdep"/>
        </w:rPr>
        <w:footnoteRef/>
        <w:t xml:space="preserve"> </w:t>
      </w:r>
      <w:r>
        <w:rPr/>
        <w:t xml:space="preserve"> Sic. </w:t>
      </w:r>
      <w:r>
        <w:rPr>
          <w:i/>
        </w:rPr>
        <w:t xml:space="preserve">(Note du correcteur - ELG.)</w:t>
      </w:r>
    </w:p>
  </w:footnote>
  <w:footnote w:id="3">
    <w:p>
      <w:pPr>
        <w:pStyle w:val="Notedebasdepage"/>
      </w:pPr>
      <w:r>
        <w:rPr>
          <w:rStyle w:val="Appelnotedebasdep"/>
        </w:rPr>
        <w:footnoteRef/>
        <w:t xml:space="preserve"> </w:t>
      </w:r>
      <w:r>
        <w:rPr/>
        <w:t xml:space="preserve"> Voyez les </w:t>
      </w:r>
      <w:r>
        <w:rPr>
          <w:i/>
        </w:rPr>
        <w:t xml:space="preserve">Anecdotes</w:t>
      </w:r>
      <w:r>
        <w:rPr/>
        <w:t xml:space="preserve"> de Procope.</w:t>
      </w:r>
    </w:p>
  </w:footnote>
  <w:footnote w:id="4">
    <w:p>
      <w:pPr>
        <w:pStyle w:val="Notedebasdepage"/>
      </w:pPr>
      <w:r>
        <w:rPr>
          <w:rStyle w:val="Appelnotedebasdep"/>
        </w:rPr>
        <w:footnoteRef/>
        <w:t xml:space="preserve"> </w:t>
      </w:r>
      <w:r>
        <w:rPr/>
        <w:t xml:space="preserve"> Adam ne fut comme Noé qu’un restaurateur du genre humain. Un affreux bouleversement laissa Adam seul sur la terre ; comme un pareil événement y laissa Noé ; mais la tradition d’Adam se perdit, celle de Noé se conserva.</w:t>
      </w:r>
    </w:p>
  </w:footnote>
  <w:footnote w:id="5">
    <w:p>
      <w:pPr>
        <w:pStyle w:val="Notedebasdepage"/>
      </w:pPr>
      <w:r>
        <w:rPr>
          <w:rStyle w:val="Appelnotedebasdep"/>
        </w:rPr>
        <w:footnoteRef/>
        <w:t xml:space="preserve"> </w:t>
      </w:r>
      <w:r>
        <w:rPr/>
        <w:t xml:space="preserve"> Sic. </w:t>
      </w:r>
      <w:r>
        <w:rPr>
          <w:i/>
        </w:rPr>
        <w:t xml:space="preserve">(Note du correcteur - ELG.)</w:t>
      </w:r>
    </w:p>
  </w:footnote>
  <w:footnote w:id="6">
    <w:p>
      <w:pPr>
        <w:pStyle w:val="Notedebasdepage"/>
      </w:pPr>
      <w:r>
        <w:rPr>
          <w:rStyle w:val="Appelnotedebasdep"/>
        </w:rPr>
        <w:footnoteRef/>
        <w:t xml:space="preserve"> </w:t>
      </w:r>
      <w:r>
        <w:rPr/>
        <w:t xml:space="preserve"> Cet article se trouvant traité plus loin avec étendue, on s’est contenté de jeter seulement ici quelques bases du système que l’on développera bientôt.</w:t>
      </w:r>
    </w:p>
  </w:footnote>
  <w:footnote w:id="7">
    <w:p>
      <w:pPr>
        <w:pStyle w:val="Notedebasdepage"/>
      </w:pPr>
      <w:r>
        <w:rPr>
          <w:rStyle w:val="Appelnotedebasdep"/>
        </w:rPr>
        <w:footnoteRef/>
        <w:t xml:space="preserve"> </w:t>
      </w:r>
      <w:r>
        <w:rPr/>
        <w:t xml:space="preserve"> Voyez Suétone et Dion Cassius de Nicée.</w:t>
      </w:r>
    </w:p>
  </w:footnote>
  <w:footnote w:id="8">
    <w:p>
      <w:pPr>
        <w:pStyle w:val="Notedebasdepage"/>
      </w:pPr>
      <w:r>
        <w:rPr>
          <w:rStyle w:val="Appelnotedebasdep"/>
        </w:rPr>
        <w:footnoteRef/>
        <w:t xml:space="preserve"> </w:t>
      </w:r>
      <w:r>
        <w:rPr/>
        <w:t xml:space="preserve"> Voyez l’</w:t>
      </w:r>
      <w:r>
        <w:rPr>
          <w:i/>
        </w:rPr>
        <w:t xml:space="preserve">Histoire de Zingua, reine d’Angola</w:t>
      </w:r>
      <w:r>
        <w:rPr/>
        <w:t xml:space="preserve">.</w:t>
      </w:r>
    </w:p>
  </w:footnote>
  <w:footnote w:id="9">
    <w:p>
      <w:pPr>
        <w:pStyle w:val="Notedebasdepage"/>
      </w:pPr>
      <w:r>
        <w:rPr>
          <w:rStyle w:val="Appelnotedebasdep"/>
        </w:rPr>
        <w:footnoteRef/>
        <w:t xml:space="preserve"> </w:t>
      </w:r>
      <w:r>
        <w:rPr/>
        <w:t xml:space="preserve"> Voyez l’</w:t>
      </w:r>
      <w:r>
        <w:rPr>
          <w:i/>
        </w:rPr>
        <w:t xml:space="preserve">Histoire de Zingua, reine d’Angola</w:t>
      </w:r>
      <w:r>
        <w:rPr/>
        <w:t xml:space="preserve">, par un missionnaire.</w:t>
      </w:r>
    </w:p>
  </w:footnote>
  <w:footnote w:id="10">
    <w:p>
      <w:pPr>
        <w:pStyle w:val="Notedebasdepage"/>
      </w:pPr>
      <w:r>
        <w:rPr>
          <w:rStyle w:val="Appelnotedebasdep"/>
        </w:rPr>
        <w:footnoteRef/>
        <w:t xml:space="preserve"> </w:t>
      </w:r>
      <w:r>
        <w:rPr/>
        <w:t xml:space="preserve"> La suite de cet ouvrage nous promettant une dissertation bien plus étendue sur celle matière, on s’est borné ici à la plus légère analyse.</w:t>
      </w:r>
    </w:p>
  </w:footnote>
  <w:footnote w:id="11">
    <w:p>
      <w:pPr>
        <w:pStyle w:val="Notedebasdepage"/>
      </w:pPr>
      <w:r>
        <w:rPr>
          <w:rStyle w:val="Appelnotedebasdep"/>
        </w:rPr>
        <w:footnoteRef/>
        <w:t xml:space="preserve"> </w:t>
      </w:r>
      <w:r>
        <w:rPr/>
        <w:t xml:space="preserve"> Si quelqu’un examine attentivement cette religion, il trouvera que les impiétés dont elle est remplie, viennent en partie de la férocité et de l’innocence des juifs, et en partie de l’indifférence et de la confusion des gentils ; au lieu de s’approprier ce que les peuples de l’Antiquité pouvaient avoir de bon, les chrétiens paraissent n’avoir formé leur religion que du mélange des vices qu’ils ont rencontré partout.</w:t>
      </w:r>
    </w:p>
  </w:footnote>
  <w:footnote w:id="12">
    <w:p>
      <w:pPr>
        <w:pStyle w:val="Notedebasdepage"/>
      </w:pPr>
      <w:r>
        <w:rPr>
          <w:rStyle w:val="Appelnotedebasdep"/>
        </w:rPr>
        <w:footnoteRef/>
        <w:t xml:space="preserve"> </w:t>
      </w:r>
      <w:r>
        <w:rPr/>
        <w:t xml:space="preserve"> Suivez l’histoire de tous les peuples, vous ne les verrez jamais changer le gouvernement qu’ils avaient pour un gouvernement monarchique, qu’en raison de l’abrutissement où la superstition les tient. Vous verrez toujours les rois étayer la religion, et la religion sacrer des rois, on sait l’histoire de l’intendant et du cuisinier, </w:t>
      </w:r>
      <w:r>
        <w:rPr>
          <w:i/>
        </w:rPr>
        <w:t xml:space="preserve">passez-moi le poivre, je vous passerai le beurre</w:t>
      </w:r>
      <w:r>
        <w:rPr/>
        <w:t xml:space="preserve"> ; malheureux humains, êtes-vous donc toujours destinés à ressembler au maître de ces deux fripons !</w:t>
      </w:r>
    </w:p>
  </w:footnote>
  <w:footnote w:id="13">
    <w:p>
      <w:pPr>
        <w:pStyle w:val="Notedebasdepage"/>
      </w:pPr>
      <w:r>
        <w:rPr>
          <w:rStyle w:val="Appelnotedebasdep"/>
        </w:rPr>
        <w:footnoteRef/>
        <w:t xml:space="preserve"> </w:t>
      </w:r>
      <w:r>
        <w:rPr/>
        <w:t xml:space="preserve"> Toutes les religions s’accordent à nous exalter la sagesse et la puissance intime de la divinité, mais dès qu’elles nous exposent sa conduite, nous n’y trouvons qu’imprudence, que faiblesse et que folie. Dieu, dit-on, a créé le monde pour lui-même, et jusqu’ici il n’a pu parvenir à s’y faire convenablement honorer, dieu nous a créés pour l’adorer, et nous passons nos jours à nous moquer de lui ; quel pauvre dieu que ce dieu-là !</w:t>
      </w:r>
    </w:p>
  </w:footnote>
  <w:footnote w:id="14">
    <w:p>
      <w:pPr>
        <w:pStyle w:val="Notedebasdepage"/>
      </w:pPr>
      <w:r>
        <w:rPr>
          <w:rStyle w:val="Appelnotedebasdep"/>
        </w:rPr>
        <w:footnoteRef/>
        <w:t xml:space="preserve"> </w:t>
      </w:r>
      <w:r>
        <w:rPr/>
        <w:t xml:space="preserve"> Il ne s’agit ici que de ceux dont la réputation est faite depuis longtemps.</w:t>
      </w:r>
    </w:p>
  </w:footnote>
  <w:footnote w:id="15">
    <w:p>
      <w:pPr>
        <w:pStyle w:val="Notedebasdepage"/>
      </w:pPr>
      <w:r>
        <w:rPr>
          <w:rStyle w:val="Appelnotedebasdep"/>
        </w:rPr>
        <w:footnoteRef/>
        <w:t xml:space="preserve"> </w:t>
      </w:r>
      <w:r>
        <w:rPr/>
        <w:t xml:space="preserve"> Chaque peuple prétend que sa religion est la meilleure, et s’appuie, pour le persuader, sur une infinité de preuves non seulement discordantes entre elles, mais presque toutes contradictoires, dans la profonde ignorance où nous sommes, quelle est celle qui peut plaire à Dieu, à supposer qu’il y ait un Dieu ; nous devons, si nous sommes sages, ou les protéger toutes également, ou les proscrire toutes de même ; or les proscrire est assurément le plus sûr, puisque nous avons la certitude morale que toutes sont des mômeries dont aucune ne peut plaire plus que l’autre à un Dieu qui n’existe pas.</w:t>
      </w:r>
    </w:p>
  </w:footnote>
  <w:footnote w:id="16">
    <w:p>
      <w:pPr>
        <w:pStyle w:val="Notedebasdepage"/>
      </w:pPr>
      <w:r>
        <w:rPr>
          <w:rStyle w:val="Appelnotedebasdep"/>
        </w:rPr>
        <w:footnoteRef/>
        <w:t xml:space="preserve"> </w:t>
      </w:r>
      <w:r>
        <w:rPr/>
        <w:t xml:space="preserve"> Sic. </w:t>
      </w:r>
      <w:r>
        <w:rPr>
          <w:i/>
        </w:rPr>
        <w:t xml:space="preserve">(Note du correcteur - ELG.)</w:t>
      </w:r>
    </w:p>
  </w:footnote>
  <w:footnote w:id="17">
    <w:p>
      <w:pPr>
        <w:pStyle w:val="Notedebasdepage"/>
      </w:pPr>
      <w:r>
        <w:rPr>
          <w:rStyle w:val="Appelnotedebasdep"/>
        </w:rPr>
        <w:footnoteRef/>
        <w:t xml:space="preserve"> </w:t>
      </w:r>
      <w:r>
        <w:rPr/>
        <w:t xml:space="preserve"> On a dit que l’intention de ces législateurs était, en émoussant la passion que les hommes éprouvent pour une fille nue, de rendre plus active celle que les hommes éprouvent quelquefois pour leur sexe ; ces sages faisaient montrer ce dont ils voulaient que l’on se dégoûtât, et cacher de qu’ils croyaient fait pour inspirer de plus doux désirs ; dans tous les cas, ne travaillaient-ils pas au but que nous venons de dire ? Ils sentaient, on le voit, le besoin de l’immoralité dans les mœurs républicaines.</w:t>
      </w:r>
    </w:p>
  </w:footnote>
  <w:footnote w:id="18">
    <w:p>
      <w:pPr>
        <w:pStyle w:val="Notedebasdepage"/>
      </w:pPr>
      <w:r>
        <w:rPr>
          <w:rStyle w:val="Appelnotedebasdep"/>
        </w:rPr>
        <w:footnoteRef/>
        <w:t xml:space="preserve"> </w:t>
      </w:r>
      <w:r>
        <w:rPr/>
        <w:t xml:space="preserve"> On sait que l’infâme et scélérat Sartine composait à Louis XV des moyens de luxure, en lui faisant lire trois fois la semaine, par la Dubaril, le détail privé et enrichi par lui de tout ce qui se passait dans les mauvais lieux de Paris ; cette branche de libertinage du Néron français coûtait trois millions à l’État !</w:t>
      </w:r>
    </w:p>
  </w:footnote>
  <w:footnote w:id="19">
    <w:p>
      <w:pPr>
        <w:pStyle w:val="Notedebasdepage"/>
      </w:pPr>
      <w:r>
        <w:rPr>
          <w:rStyle w:val="Appelnotedebasdep"/>
        </w:rPr>
        <w:footnoteRef/>
        <w:t xml:space="preserve"> </w:t>
      </w:r>
      <w:r>
        <w:rPr/>
        <w:t xml:space="preserve"> Qu’on ne dise pas ici que je me contrarie, et qu’après avoir établi plus haut que nous n’avions aucun droit de lier une femme à nous, je détruis ces principes en disant maintenant que nous avons le droit de la contraindre ; je répète qu’il ne s’agit ici que de la jouissance, et non de la propriété ; je n’ai nul droit sur la propriété de cette fontaine que je rencontre dans mon chemin, mais j’ai des droits certains sur sa jouissance ; j’ai le droit de profiter de l’eau limpide qu’elle offre à ma soif ; je n’ai de même aucun droit réel sur la propriété de telle ou telle femme, mais j’en ai d’incontestables à sa jouissance, j’en ai de la contraindre à cette jouissance, si elle me la refuse par tel motif que ce puisse être.</w:t>
      </w:r>
    </w:p>
  </w:footnote>
  <w:footnote w:id="20">
    <w:p>
      <w:pPr>
        <w:pStyle w:val="Notedebasdepage"/>
      </w:pPr>
      <w:r>
        <w:rPr>
          <w:rStyle w:val="Appelnotedebasdep"/>
        </w:rPr>
        <w:footnoteRef/>
        <w:t xml:space="preserve"> </w:t>
      </w:r>
      <w:r>
        <w:rPr/>
        <w:t xml:space="preserve"> Les Babyloniennes n’attendaient pas sept ans pour porter leurs prémices au temple de Vénus ; le premier mouvement de concupiscence qu’éprouve une jeune fille, est l’époque que la nature lui indique pour se prostituer, et sans aucune autre espèce de considération, elle doit céder dès que sa nature parle ; elle en outrage les lois si elle résiste.</w:t>
      </w:r>
    </w:p>
  </w:footnote>
  <w:footnote w:id="21">
    <w:p>
      <w:pPr>
        <w:pStyle w:val="Notedebasdepage"/>
      </w:pPr>
      <w:r>
        <w:rPr>
          <w:rStyle w:val="Appelnotedebasdep"/>
        </w:rPr>
        <w:footnoteRef/>
        <w:t xml:space="preserve"> </w:t>
      </w:r>
      <w:r>
        <w:rPr/>
        <w:t xml:space="preserve"> Les femmes ne savent pas à quel point leurs lascivités les embellissent ; que l’on compare deux femmes d’âge et de beauté à peu près semblables, dont l’une vit dans le célibat et l’autre dans le libertinage ; on verra combien cette dernière l’emportera d’éclat et de fraîcheur ; toute violence faite à la nature use bien plus que l’abus des plaisirs ; il n’y a personne qui ne sache que les couches embellissent une femme.</w:t>
      </w:r>
    </w:p>
  </w:footnote>
  <w:footnote w:id="22">
    <w:p>
      <w:pPr>
        <w:pStyle w:val="Notedebasdepage"/>
      </w:pPr>
      <w:r>
        <w:rPr>
          <w:rStyle w:val="Appelnotedebasdep"/>
        </w:rPr>
        <w:footnoteRef/>
        <w:t xml:space="preserve"> </w:t>
      </w:r>
      <w:r>
        <w:rPr/>
        <w:t xml:space="preserve"> Le même voulait que les fiancés se vissent tout nus avant de s’épouser ; que de mariages manqueraient si cette loi s’exécutait ; on avouera que le contraire est bien ce qu’on appelle acheter de la marchandise sans la voir.</w:t>
      </w:r>
    </w:p>
  </w:footnote>
  <w:footnote w:id="23">
    <w:p>
      <w:pPr>
        <w:pStyle w:val="Notedebasdepage"/>
      </w:pPr>
      <w:r>
        <w:rPr>
          <w:rStyle w:val="Appelnotedebasdep"/>
        </w:rPr>
        <w:footnoteRef/>
        <w:t xml:space="preserve"> </w:t>
      </w:r>
      <w:r>
        <w:rPr>
          <w:i/>
        </w:rPr>
        <w:t xml:space="preserve">Œuvres morales</w:t>
      </w:r>
      <w:r>
        <w:rPr/>
        <w:t xml:space="preserve">, « Traité de l’amour ».</w:t>
      </w:r>
    </w:p>
  </w:footnote>
  <w:footnote w:id="24">
    <w:p>
      <w:pPr>
        <w:pStyle w:val="Notedebasdepage"/>
      </w:pPr>
      <w:r>
        <w:rPr>
          <w:rStyle w:val="Appelnotedebasdep"/>
        </w:rPr>
        <w:footnoteRef/>
        <w:t xml:space="preserve"> </w:t>
      </w:r>
      <w:r>
        <w:rPr/>
        <w:t xml:space="preserve"> Il faut espérer que la nation réformera cette dépense, la plus inutile de toutes ; tout individu qui naît sans les qualités nécessaires pour devenir un jour utile à la république, n’a nul droit à conserver la vie, et ce qu’on peut faire de mieux, est de la lui ôter au moment où il la reçoit.</w:t>
      </w:r>
    </w:p>
  </w:footnote>
  <w:footnote w:id="25">
    <w:p>
      <w:pPr>
        <w:pStyle w:val="Notedebasdepage"/>
      </w:pPr>
      <w:r>
        <w:rPr>
          <w:rStyle w:val="Appelnotedebasdep"/>
        </w:rPr>
        <w:footnoteRef/>
        <w:t xml:space="preserve"> </w:t>
      </w:r>
      <w:r>
        <w:rPr/>
        <w:t xml:space="preserve"> La loi salique ne punissait le meurtre que d’une simple amende, et comme le coupable trouvait facilement les moyens de s’y soustraire, Childebert, roi d’Austrasie, décerna, par un règlement fait à Cologne, la peine de mort non contre le meurtrier, mais contre celui qui se soustrairait à l’amende décernée contre le meurtrier ; la loi ripuaire n’ordonnait de même contre cette action qu’une amende proportionnée à l’individu qu’il avait tué, il en coûtait fort cher pour un prêtre ; on faisait à l’assassin une tunique de plomb de sa taille , et il devait équivaloir en or le poids de cette tunique, à défaut de quoi le coupable et sa famille demeuraient esclaves de l’Église.</w:t>
      </w:r>
    </w:p>
  </w:footnote>
  <w:footnote w:id="26">
    <w:p>
      <w:pPr>
        <w:pStyle w:val="Notedebasdepage"/>
      </w:pPr>
      <w:r>
        <w:rPr>
          <w:rStyle w:val="Appelnotedebasdep"/>
        </w:rPr>
        <w:footnoteRef/>
        <w:t xml:space="preserve"> </w:t>
      </w:r>
      <w:r>
        <w:rPr/>
        <w:t xml:space="preserve"> Qu’on se souvienne que la guerre extérieure ne fut jamais proposée que par l’infâme Dumouriez.</w:t>
      </w:r>
    </w:p>
  </w:footnote>
  <w:footnote w:id="27">
    <w:p>
      <w:pPr>
        <w:pStyle w:val="Notedebasdepage"/>
      </w:pPr>
      <w:r>
        <w:rPr>
          <w:rStyle w:val="Appelnotedebasdep"/>
        </w:rPr>
        <w:footnoteRef/>
        <w:t xml:space="preserve"> </w:t>
      </w:r>
      <w:r>
        <w:rPr/>
        <w:t xml:space="preserve"> La pauvreté de la langue française nous contraint à employer des mots que notre heureux gouvernement réprouve aujourd’hui avec tant de raison ; nous espérons que nos lecteurs éclairés nous entendront, et ne confondront point l’absurde despotisme politique, avec le très luxurieux despotisme des passions de libertinage.</w:t>
      </w:r>
    </w:p>
  </w:footnote>
</w:footnot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