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La question de la spiritualité n’a occasionné tant de débats que parce qu’on a cru qu’elle tenait à la destination future de l’homme ; mais rien ne nous démontre qu’une substance spirituelle ne puisse être anéantie, ni qu’une substance matérielle ne puisse exister toujours : ne connaissant pas plus l’une que l’autre dans leur essence, pouvons-nous affirmer ou nier quelque chose de cette essence que nous ne connaissons pas ? Il me semble, dès lors, que la question de la spiritualité perd toute son importance, et que nous n’avons pas plus d’intérêt à l’admettre qu’à la rejeter, puisque, dans les deux cas, les résultats peuvent être les mêmes.</w:t>
      </w:r>
    </w:p>
  </w:footnote>
  <w:footnote w:id="2">
    <w:p>
      <w:pPr>
        <w:pStyle w:val="Notedebasdepage"/>
      </w:pPr>
      <w:r>
        <w:rPr>
          <w:rStyle w:val="Appelnotedebasdep"/>
        </w:rPr>
        <w:footnoteRef/>
        <w:t xml:space="preserve"> </w:t>
      </w:r>
      <w:r>
        <w:rPr/>
        <w:t xml:space="preserve">Voyez les œuvres de Diderot : </w:t>
      </w:r>
      <w:r>
        <w:rPr>
          <w:i/>
        </w:rPr>
        <w:t xml:space="preserve">Opinions des anciens philosophes</w:t>
      </w:r>
      <w:r>
        <w:rPr/>
        <w:t xml:space="preserve">, tome I, page 288.</w:t>
      </w:r>
    </w:p>
  </w:footnote>
  <w:footnote w:id="3">
    <w:p>
      <w:pPr>
        <w:pStyle w:val="Notedebasdepage"/>
      </w:pPr>
      <w:r>
        <w:rPr>
          <w:rStyle w:val="Appelnotedebasdep"/>
        </w:rPr>
        <w:footnoteRef/>
        <w:t xml:space="preserve"> </w:t>
      </w:r>
      <w:r>
        <w:rPr/>
        <w:t xml:space="preserve">When I endeavaur to examine my own conduct, when I endeavour to pass sentence upon it, and either to approve or condemn it, it is evident that, in all such cases, I divide myself, as it were, into two persons ; and that I the examiner and judge represent a different character from that other I the person whose conduct is examined into and judged of… the first is the judge, the second the person judged of. But that the judge should in every respect, be the same with the person judged of, is as impossible, as that the cause should, in every respect, be the same with the effect. </w:t>
      </w:r>
      <w:r>
        <w:rPr>
          <w:i/>
        </w:rPr>
        <w:t xml:space="preserve">Theory of moral sentiment</w:t>
      </w:r>
      <w:r>
        <w:rPr/>
        <w:t xml:space="preserve">, vol. I, page 282.</w:t>
      </w:r>
    </w:p>
  </w:footnote>
  <w:footnote w:id="4">
    <w:p>
      <w:pPr>
        <w:pStyle w:val="Notedebasdepage"/>
      </w:pPr>
      <w:r>
        <w:rPr>
          <w:rStyle w:val="Appelnotedebasdep"/>
        </w:rPr>
        <w:footnoteRef/>
        <w:t xml:space="preserve"> </w:t>
      </w:r>
      <w:r>
        <w:rPr>
          <w:i/>
        </w:rPr>
        <w:t xml:space="preserve">Traité des animaux</w:t>
      </w:r>
      <w:r>
        <w:rPr/>
        <w:t xml:space="preserve">, chap. 2.</w:t>
      </w:r>
    </w:p>
  </w:footnote>
  <w:footnote w:id="5">
    <w:p>
      <w:pPr>
        <w:pStyle w:val="Notedebasdepage"/>
      </w:pPr>
      <w:r>
        <w:rPr>
          <w:rStyle w:val="Appelnotedebasdep"/>
        </w:rPr>
        <w:footnoteRef/>
        <w:t xml:space="preserve"> </w:t>
      </w:r>
      <w:r>
        <w:rPr/>
        <w:t xml:space="preserve">Nous ne croyons pas avoir besoin d’avertir que ceci n’a rien de contraire à ce que nous avons dit dans le premier chapitre, où nous avons admis deux principes de sensibilité.</w:t>
      </w:r>
    </w:p>
  </w:footnote>
  <w:footnote w:id="6">
    <w:p>
      <w:pPr>
        <w:pStyle w:val="Notedebasdepage"/>
      </w:pPr>
      <w:r>
        <w:rPr>
          <w:rStyle w:val="Appelnotedebasdep"/>
        </w:rPr>
        <w:footnoteRef/>
        <w:t xml:space="preserve"> </w:t>
      </w:r>
      <w:r>
        <w:rPr>
          <w:i/>
        </w:rPr>
        <w:t xml:space="preserve">Voyage dans l’intérieur de la Chine</w:t>
      </w:r>
      <w:r>
        <w:rPr/>
        <w:t xml:space="preserve">, par lord Macarteney, tome 2, page 372.</w:t>
      </w:r>
    </w:p>
  </w:footnote>
  <w:footnote w:id="7">
    <w:p>
      <w:pPr>
        <w:pStyle w:val="Notedebasdepage"/>
      </w:pPr>
      <w:r>
        <w:rPr>
          <w:rStyle w:val="Appelnotedebasdep"/>
        </w:rPr>
        <w:footnoteRef/>
        <w:t xml:space="preserve"> </w:t>
      </w:r>
      <w:r>
        <w:rPr/>
        <w:t xml:space="preserve">Voyez </w:t>
      </w:r>
      <w:r>
        <w:rPr>
          <w:i/>
        </w:rPr>
        <w:t xml:space="preserve">la Politique d’Aristote</w:t>
      </w:r>
      <w:r>
        <w:rPr/>
        <w:t xml:space="preserve">, traduite par le citoyen Champagne, tome I, page 97.</w:t>
      </w:r>
    </w:p>
  </w:footnote>
  <w:footnote w:id="8">
    <w:p>
      <w:pPr>
        <w:pStyle w:val="Notedebasdepage"/>
      </w:pPr>
      <w:r>
        <w:rPr>
          <w:rStyle w:val="Appelnotedebasdep"/>
        </w:rPr>
        <w:footnoteRef/>
        <w:t xml:space="preserve"> </w:t>
      </w:r>
      <w:r>
        <w:rPr/>
        <w:t xml:space="preserve">Chapitre XI, page 55.</w:t>
      </w:r>
    </w:p>
  </w:footnote>
  <w:footnote w:id="9">
    <w:p>
      <w:pPr>
        <w:pStyle w:val="Notedebasdepage"/>
      </w:pPr>
      <w:r>
        <w:rPr>
          <w:rStyle w:val="Appelnotedebasdep"/>
        </w:rPr>
        <w:footnoteRef/>
        <w:t xml:space="preserve"> </w:t>
      </w:r>
      <w:r>
        <w:rPr/>
        <w:t xml:space="preserve">Condillac réfute ici lui-même la proposition par laquelle, dans son </w:t>
      </w:r>
      <w:r>
        <w:rPr>
          <w:i/>
        </w:rPr>
        <w:t xml:space="preserve">Traité des Animaux</w:t>
      </w:r>
      <w:r>
        <w:rPr/>
        <w:t xml:space="preserve">, il veut qu’on ne fasse par habitude que ce qu’on a d’abord fait avec réflexion ; car, s’il faut que l’expérience fasse remarquer aux hommes ce qu’ils font d’après la nature seule, il est certain que ces opérations non remarquées sont des opérations non réfléchies, et que, puisqu’elles précèdent la réflexion dans l’homme, elles ne la supposent pas dans les animaux. C’est la propriété que nous avons de nous identifier à tout, de nous substituer à tout, et d’exister, pour ainsi dire, en tout, qui nous porte à joindre la réflexion à l’instinct dans les animaux, parce que nous l’y trouvons jointe en nous-mêmes : sans nous en apercevoir, c’est nous-mêmes que nous analysons en croyant analyser les animaux.</w:t>
      </w:r>
    </w:p>
  </w:footnote>
  <w:footnote w:id="10">
    <w:p>
      <w:pPr>
        <w:pStyle w:val="Notedebasdepage"/>
      </w:pPr>
      <w:r>
        <w:rPr>
          <w:rStyle w:val="Appelnotedebasdep"/>
        </w:rPr>
        <w:footnoteRef/>
        <w:t xml:space="preserve"> </w:t>
      </w:r>
      <w:r>
        <w:rPr/>
        <w:t xml:space="preserve">Cook, dans ses Voyages, parle continuellement des vols que lui faisaient les habitants des îles qu’il a parcourues ; mais, comme il le dit lui-même, c’était moins pour voler que pour satisfaire une curiosité enfantine sur des objets qu’ils n’avaient jamais vus ; ce qui le prouve, c’est que ces objets étaient le plus souvent rendus sans nulle contestation, et que l’action de les prendre n’entraînait aucune idée de délit parmi ces peuples : il est probable, quoi qu’en dise le voyageur, qu’ils n’ont aucune notion de propriété individuelle ; ce qui semble le confirmer, c’est que, dans un endroit de ses Voyages, il rapporte que tous les objets échangés individuellement furent retrouvés dans une même cabane ; d’où il est naturel de conclure que c’était le dépôt commun de la société.</w:t>
      </w:r>
    </w:p>
    <w:p>
      <w:pPr>
        <w:pStyle w:val="Notedebasdepage"/>
      </w:pPr>
      <w:r>
        <w:rPr/>
        <w:t xml:space="preserve">Il est possible que ce célèbre navigateur ait mis beaucoup d’exactitude dans ses descriptions topographiques ; mais, à l’égard des mœurs et des usages, ses récits doivent nécessairement contenir bien des choses fausses ou hasardées : il parle de rois, de grands, de bas peuple dans des pays où certainement toutes ces distinctions ne sont pas connues ; il nous dit l’âge des chefs qui, sans doute, ne le savaient pas eux-mêmes, puisqu’il nous apprend, d’un autre côté, qu’ils n’ont aucun moyen artificiel de calculer la durée, et qu’ils ne peuvent se rappeler au juste ce qui l’est passé au-delà d’un an.</w:t>
      </w:r>
    </w:p>
    <w:p>
      <w:pPr>
        <w:pStyle w:val="Notedebasdepage"/>
      </w:pPr>
      <w:r>
        <w:rPr/>
        <w:t xml:space="preserve">Comment décrire avec exactitude les mœurs et les habitudes d’un peuple dont on ignore absolument l’idiome, et chez lequel on ne reste que quelques jours. Quelque talent qu’on ait pour l’observation, on rapporte naturellement tout ce qu’on voit à ses propres idées ; on investit de ses préjugés des coutumes et des habitudes qui leur sont absolument étrangères : on donne des motifs à des choses qui n’en ont pas, ou qui en ont d’entièrement opposés à ceux qu’on leur prête : on crée des explications que la nature des choses désavoue ; et, en racontant les faits avec exactitude, on n’en fait pas moins un roman par la manière dont on les interprète ; c’est peut-être un écueil que ne peuvent éviter les voyageurs même les plus véridiques.</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1135138"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