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J.-H. M</w:t>
      </w:r>
      <w:r>
        <w:rPr>
          <w:smallCaps/>
        </w:rPr>
        <w:t xml:space="preserve">ackay</w:t>
      </w:r>
      <w:r>
        <w:rPr/>
        <w:t xml:space="preserve">, Max Stirner, sein Leben und sein Werk </w:t>
      </w:r>
      <w:r>
        <w:rPr>
          <w:i/>
        </w:rPr>
        <w:t xml:space="preserve">(Berlin, Schuster et Loeffler, 1898</w:t>
      </w:r>
      <w:r>
        <w:rPr/>
        <w:t xml:space="preserve">).</w:t>
      </w:r>
    </w:p>
  </w:footnote>
  <w:footnote w:id="2">
    <w:p>
      <w:pPr>
        <w:pStyle w:val="Notedebasdepage"/>
      </w:pPr>
      <w:r>
        <w:rPr>
          <w:rStyle w:val="Appelnotedebasdep"/>
        </w:rPr>
        <w:footnoteRef/>
        <w:t xml:space="preserve"> </w:t>
      </w:r>
      <w:r>
        <w:rPr>
          <w:i/>
        </w:rPr>
        <w:t xml:space="preserve">Réunis en un volume pour la première fois en 1898 par J.-H. Mackay, avec les Réponses aux objections, sous le titre : Max Stirner’s kleinere Schriften (Berlin, Schuster et Loeffler).</w:t>
      </w:r>
    </w:p>
  </w:footnote>
  <w:footnote w:id="3">
    <w:p>
      <w:pPr>
        <w:pStyle w:val="Notedebasdepage"/>
      </w:pPr>
      <w:r>
        <w:rPr>
          <w:rStyle w:val="Appelnotedebasdep"/>
        </w:rPr>
        <w:footnoteRef/>
        <w:t xml:space="preserve"> </w:t>
      </w:r>
      <w:r>
        <w:rPr/>
        <w:t xml:space="preserve">Essence du Christianisme, </w:t>
      </w:r>
      <w:r>
        <w:rPr>
          <w:i/>
        </w:rPr>
        <w:t xml:space="preserve">trad. fr., pp. 5, 310, 323, 376.</w:t>
      </w:r>
    </w:p>
  </w:footnote>
  <w:footnote w:id="4">
    <w:p>
      <w:pPr>
        <w:pStyle w:val="Notedebasdepage"/>
      </w:pPr>
      <w:r>
        <w:rPr>
          <w:rStyle w:val="Appelnotedebasdep"/>
        </w:rPr>
        <w:footnoteRef/>
        <w:t xml:space="preserve"> </w:t>
      </w:r>
      <w:r>
        <w:rPr>
          <w:i/>
        </w:rPr>
        <w:t xml:space="preserve">Remarquons en passant que Stirner, qui ne connut — et assez superficiellement — que les premiers travaux de Proudhon, répond par avance à la pensée fondamentale de sa Justice dans la Révolution et dans l'Église et repousse toute opposition entre la justice purement humaine de la Révolution et la radicale incapacité de justice de l'Eglise. La dignité humaine, source de justice de Proudhon, vaut la dignité, source de moralité de Mill ; à moins d'être un retour à la révélation, elles sont l'une et l'autre également incapables de justifier toute idée de sanction et d'obligation ; la justice de l'un comme la morale de l'autre sont religieuses ou ne sont ni morale ni justice. Comme le dit excellemment Guyau, la morale des utilitaires (et la justice de Proudhon est dans le même cas) n'a jamais pu expliquer que le faire moral (la possibilité d'être amené à poser des actes conformes à la moralité), et non le vouloir moral (la moralité) ; la physique des mœurs ne peut devenir une morale que si elle en appelle inconsciemment à une « table des valeurs » religieuse. Il n'est d'autre réfutation de la morale théologique que la suppression de la théologie — et de la morale.</w:t>
      </w:r>
    </w:p>
  </w:footnote>
  <w:footnote w:id="5">
    <w:p>
      <w:pPr>
        <w:pStyle w:val="Notedebasdepage"/>
      </w:pPr>
      <w:r>
        <w:rPr>
          <w:rStyle w:val="Appelnotedebasdep"/>
        </w:rPr>
        <w:footnoteRef/>
        <w:t xml:space="preserve"> </w:t>
      </w:r>
      <w:r>
        <w:rPr/>
        <w:t xml:space="preserve">Das unwahre Prinzip unserer Erziehung, </w:t>
      </w:r>
      <w:r>
        <w:rPr>
          <w:i/>
        </w:rPr>
        <w:t xml:space="preserve">Kl. Schriften, éd. Mackay, p. 24.</w:t>
      </w:r>
    </w:p>
  </w:footnote>
  <w:footnote w:id="6">
    <w:p>
      <w:pPr>
        <w:pStyle w:val="Notedebasdepage"/>
      </w:pPr>
      <w:r>
        <w:rPr>
          <w:rStyle w:val="Appelnotedebasdep"/>
        </w:rPr>
        <w:footnoteRef/>
        <w:t xml:space="preserve"> </w:t>
      </w:r>
      <w:r>
        <w:rPr>
          <w:i/>
        </w:rPr>
        <w:t xml:space="preserve">Stirner avait nettement répudié toute parenté entre son moi corporel et passager et le Moi absolu de Fichte, ce qui n'empêche pas Ed. von Hartmann de voir « dans son absolutisation du Moi la véritable conséquence pratique du monisme subjectif de Fichte ». C'est une des plus lourdes méprises dont notre penseur ait été victime. Je ne cite que pour mémoire l'opinion du critique auquel Stirner et l'Unique rappellent Machiavel et le Prince, et le critique français dont je ne retrouve pas le nom et dont tous ceux qui s'occupent de Stirner répètent la phrase sur « ce livre qu'on quitte monarque ». Voyez aussi, à titre de curiosité, un discours de H. von Bülow où Stirner est comparé à Bismarck.</w:t>
      </w:r>
    </w:p>
  </w:footnote>
  <w:footnote w:id="7">
    <w:p>
      <w:pPr>
        <w:pStyle w:val="Notedebasdepage"/>
      </w:pPr>
      <w:r>
        <w:rPr>
          <w:rStyle w:val="Appelnotedebasdep"/>
        </w:rPr>
        <w:footnoteRef/>
        <w:t xml:space="preserve"> </w:t>
      </w:r>
      <w:r>
        <w:rPr>
          <w:i/>
        </w:rPr>
        <w:t xml:space="preserve">Fr. Nietzsche, Also sprach Zarathustra, p. 47. Nous laissons de côté tout parallèle entre Nietzsche et Stirner ; il y a de telles affinités entre l'Unique et sa Propriété et la partie critique de l'œuvre du chantre de Zarathustra qu'il est difficile de se convaincre, quoique le fait soit à peu près prouvé, que ce dernier ne connut point Stirner. Sa destruction de la « table des valeurs » actuellement admises est d’un Stirner qui, au lieu de Hégel, aurait eu Schopenhauer pour éducateur. Remarquons en passant que ce que Lange appelle volonté, « volonté à laquelle, dit-il (Hist. du Mat., tr.fr., II, p. 98), Stirner donne une valeur telle qu’elle nous apparaît comme la force fondamentale de l’être humain », semble correspondre exactement à la « Wille zur Macht » de Nietzsche.</w:t>
      </w:r>
    </w:p>
  </w:footnote>
  <w:footnote w:id="8">
    <w:p>
      <w:pPr>
        <w:pStyle w:val="Notedebasdepage"/>
      </w:pPr>
      <w:r>
        <w:rPr>
          <w:rStyle w:val="Appelnotedebasdep"/>
        </w:rPr>
        <w:footnoteRef/>
        <w:t xml:space="preserve"> </w:t>
      </w:r>
      <w:r>
        <w:rPr>
          <w:i/>
        </w:rPr>
        <w:t xml:space="preserve">Fr. Nietzsche</w:t>
      </w:r>
      <w:r>
        <w:rPr/>
        <w:t xml:space="preserve">, Der Antichrist, </w:t>
      </w:r>
      <w:r>
        <w:rPr>
          <w:i/>
        </w:rPr>
        <w:t xml:space="preserve">VII.</w:t>
      </w:r>
    </w:p>
  </w:footnote>
  <w:footnote w:id="9">
    <w:p>
      <w:pPr>
        <w:pStyle w:val="Notedebasdepage"/>
      </w:pPr>
      <w:r>
        <w:rPr>
          <w:rStyle w:val="Appelnotedebasdep"/>
        </w:rPr>
        <w:footnoteRef/>
        <w:t xml:space="preserve"> </w:t>
      </w:r>
      <w:r>
        <w:rPr/>
        <w:t xml:space="preserve">Die philosophischen Reactionaere, </w:t>
      </w:r>
      <w:r>
        <w:rPr>
          <w:i/>
        </w:rPr>
        <w:t xml:space="preserve">Kl. Schriften, édit. Mackay, p. 182, 183.</w:t>
      </w:r>
    </w:p>
  </w:footnote>
  <w:footnote w:id="10">
    <w:p>
      <w:pPr>
        <w:pStyle w:val="Notedebasdepage"/>
      </w:pPr>
      <w:r>
        <w:rPr>
          <w:rStyle w:val="Appelnotedebasdep"/>
        </w:rPr>
        <w:footnoteRef/>
        <w:t xml:space="preserve"> </w:t>
      </w:r>
      <w:r>
        <w:rPr/>
        <w:t xml:space="preserve">Nouvelle revue, </w:t>
      </w:r>
      <w:r>
        <w:rPr>
          <w:i/>
        </w:rPr>
        <w:t xml:space="preserve">15 juillet 1894.</w:t>
      </w:r>
    </w:p>
  </w:footnote>
  <w:footnote w:id="11">
    <w:p>
      <w:pPr>
        <w:pStyle w:val="Notedebasdepage"/>
      </w:pPr>
      <w:r>
        <w:rPr>
          <w:rStyle w:val="Appelnotedebasdep"/>
        </w:rPr>
        <w:footnoteRef/>
        <w:t xml:space="preserve"> </w:t>
      </w:r>
      <w:r>
        <w:rPr/>
        <w:t xml:space="preserve">Die Mysterien von Paris, </w:t>
      </w:r>
      <w:r>
        <w:rPr>
          <w:i/>
        </w:rPr>
        <w:t xml:space="preserve">Kl. Schriften, éd. Mackay, p. 101.</w:t>
      </w:r>
    </w:p>
  </w:footnote>
  <w:footnote w:id="12">
    <w:p>
      <w:pPr>
        <w:pStyle w:val="Notedebasdepage"/>
      </w:pPr>
      <w:r>
        <w:rPr>
          <w:rStyle w:val="Appelnotedebasdep"/>
        </w:rPr>
        <w:footnoteRef/>
        <w:t xml:space="preserve"> </w:t>
      </w:r>
      <w:r>
        <w:rPr/>
        <w:t xml:space="preserve">Die philosophischen Reactionaere, </w:t>
      </w:r>
      <w:r>
        <w:rPr>
          <w:i/>
        </w:rPr>
        <w:t xml:space="preserve">Kl. Schriften, éd. Mackay, p. 183.</w:t>
      </w:r>
    </w:p>
  </w:footnote>
  <w:footnote w:id="13">
    <w:p>
      <w:pPr>
        <w:pStyle w:val="Notedebasdepage"/>
      </w:pPr>
      <w:r>
        <w:rPr>
          <w:rStyle w:val="Appelnotedebasdep"/>
        </w:rPr>
        <w:footnoteRef/>
        <w:t xml:space="preserve"> </w:t>
      </w:r>
      <w:r>
        <w:rPr/>
        <w:t xml:space="preserve">Luc. </w:t>
      </w:r>
      <w:r>
        <w:rPr>
          <w:smallCaps/>
        </w:rPr>
        <w:t xml:space="preserve">xi</w:t>
      </w:r>
      <w:r>
        <w:rPr/>
        <w:t xml:space="preserve">, 13.</w:t>
      </w:r>
    </w:p>
  </w:footnote>
  <w:footnote w:id="14">
    <w:p>
      <w:pPr>
        <w:pStyle w:val="Notedebasdepage"/>
      </w:pPr>
      <w:r>
        <w:rPr>
          <w:rStyle w:val="Appelnotedebasdep"/>
        </w:rPr>
        <w:footnoteRef/>
        <w:t xml:space="preserve"> </w:t>
      </w:r>
      <w:r>
        <w:rPr/>
        <w:t xml:space="preserve">Cf. D</w:t>
      </w:r>
      <w:r>
        <w:rPr>
          <w:smallCaps/>
        </w:rPr>
        <w:t xml:space="preserve">escartes</w:t>
      </w:r>
      <w:r>
        <w:rPr/>
        <w:t xml:space="preserve"> : </w:t>
      </w:r>
      <w:r>
        <w:rPr>
          <w:i/>
        </w:rPr>
        <w:t xml:space="preserve">Ce qu’on nomme l’Antiquité n’était que l’enfance et la jeunesse du genre humain ; « à nous plutôt convient le nom d’anciens ; car le monde est plus vieux qu’alors, et nous avons une plus grande expérience ». (N. D. Tr.)</w:t>
      </w:r>
    </w:p>
  </w:footnote>
  <w:footnote w:id="15">
    <w:p>
      <w:pPr>
        <w:pStyle w:val="Notedebasdepage"/>
      </w:pPr>
      <w:r>
        <w:rPr>
          <w:rStyle w:val="Appelnotedebasdep"/>
        </w:rPr>
        <w:footnoteRef/>
        <w:t xml:space="preserve"> </w:t>
      </w:r>
      <w:r>
        <w:rPr/>
        <w:t xml:space="preserve">Hébreux, </w:t>
      </w:r>
      <w:r>
        <w:rPr>
          <w:smallCaps/>
        </w:rPr>
        <w:t xml:space="preserve">xi</w:t>
      </w:r>
      <w:r>
        <w:rPr/>
        <w:t xml:space="preserve">, 13.</w:t>
      </w:r>
    </w:p>
  </w:footnote>
  <w:footnote w:id="16">
    <w:p>
      <w:pPr>
        <w:pStyle w:val="Notedebasdepage"/>
      </w:pPr>
      <w:r>
        <w:rPr>
          <w:rStyle w:val="Appelnotedebasdep"/>
        </w:rPr>
        <w:footnoteRef/>
        <w:t xml:space="preserve"> </w:t>
      </w:r>
      <w:r>
        <w:rPr/>
        <w:t xml:space="preserve">Marc, </w:t>
      </w:r>
      <w:r>
        <w:rPr>
          <w:smallCaps/>
        </w:rPr>
        <w:t xml:space="preserve">x</w:t>
      </w:r>
      <w:r>
        <w:rPr/>
        <w:t xml:space="preserve">, 29.</w:t>
      </w:r>
    </w:p>
  </w:footnote>
  <w:footnote w:id="17">
    <w:p>
      <w:pPr>
        <w:pStyle w:val="Notedebasdepage"/>
      </w:pPr>
      <w:r>
        <w:rPr>
          <w:rStyle w:val="Appelnotedebasdep"/>
        </w:rPr>
        <w:footnoteRef/>
        <w:t xml:space="preserve"> </w:t>
      </w:r>
      <w:r>
        <w:rPr/>
        <w:t xml:space="preserve">2</w:t>
      </w:r>
      <w:r>
        <w:rPr>
          <w:vertAlign w:val="superscript"/>
        </w:rPr>
        <w:t>e</w:t>
      </w:r>
      <w:r>
        <w:rPr/>
        <w:t xml:space="preserve"> aux Corinthiens, V, 17.</w:t>
      </w:r>
    </w:p>
  </w:footnote>
  <w:footnote w:id="18">
    <w:p>
      <w:pPr>
        <w:pStyle w:val="Notedebasdepage"/>
      </w:pPr>
      <w:r>
        <w:rPr>
          <w:rStyle w:val="Appelnotedebasdep"/>
        </w:rPr>
        <w:footnoteRef/>
        <w:t xml:space="preserve"> </w:t>
      </w:r>
      <w:r>
        <w:rPr>
          <w:i/>
        </w:rPr>
        <w:t xml:space="preserve">Wesen des Christentums</w:t>
      </w:r>
      <w:r>
        <w:rPr/>
        <w:t xml:space="preserve"> (Essence du Christianisme).</w:t>
      </w:r>
    </w:p>
    <w:p>
      <w:pPr>
        <w:pStyle w:val="Notedebasdepage"/>
      </w:pPr>
      <w:r>
        <w:rPr>
          <w:i/>
        </w:rPr>
        <w:t xml:space="preserve">Une traduction de cet ouvrage a été publiée par J. Roy (Paris, Lacroix</w:t>
      </w:r>
      <w:r>
        <w:rPr/>
        <w:t xml:space="preserve">, 1864). </w:t>
      </w:r>
      <w:r>
        <w:rPr>
          <w:i/>
        </w:rPr>
        <w:t xml:space="preserve">N. du Tr</w:t>
      </w:r>
      <w:r>
        <w:rPr/>
        <w:t xml:space="preserve">.</w:t>
      </w:r>
    </w:p>
  </w:footnote>
  <w:footnote w:id="19">
    <w:p>
      <w:pPr>
        <w:pStyle w:val="Notedebasdepage"/>
      </w:pPr>
      <w:r>
        <w:rPr>
          <w:rStyle w:val="Appelnotedebasdep"/>
        </w:rPr>
        <w:footnoteRef/>
        <w:t xml:space="preserve"> </w:t>
      </w:r>
      <w:r>
        <w:rPr/>
        <w:t xml:space="preserve">Cf. par exemple : F</w:t>
      </w:r>
      <w:r>
        <w:rPr>
          <w:smallCaps/>
        </w:rPr>
        <w:t xml:space="preserve">euerbach</w:t>
      </w:r>
      <w:r>
        <w:rPr/>
        <w:t xml:space="preserve">, </w:t>
      </w:r>
      <w:r>
        <w:rPr>
          <w:i/>
        </w:rPr>
        <w:t xml:space="preserve">Wesen des Christentums</w:t>
      </w:r>
      <w:r>
        <w:rPr/>
        <w:t xml:space="preserve">, p. 402.</w:t>
      </w:r>
    </w:p>
  </w:footnote>
  <w:footnote w:id="20">
    <w:p>
      <w:pPr>
        <w:pStyle w:val="Notedebasdepage"/>
      </w:pPr>
      <w:r>
        <w:rPr>
          <w:rStyle w:val="Appelnotedebasdep"/>
        </w:rPr>
        <w:footnoteRef/>
        <w:t xml:space="preserve"> </w:t>
      </w:r>
      <w:r>
        <w:rPr/>
        <w:t xml:space="preserve">Cf. Romains </w:t>
      </w:r>
      <w:r>
        <w:rPr>
          <w:smallCaps/>
        </w:rPr>
        <w:t xml:space="preserve">viii</w:t>
      </w:r>
      <w:r>
        <w:rPr/>
        <w:t xml:space="preserve">, 9 ; 1</w:t>
      </w:r>
      <w:r>
        <w:rPr>
          <w:vertAlign w:val="superscript"/>
        </w:rPr>
        <w:t>re</w:t>
      </w:r>
      <w:r>
        <w:rPr/>
        <w:t xml:space="preserve"> aux Corinth., </w:t>
      </w:r>
      <w:r>
        <w:rPr>
          <w:smallCaps/>
        </w:rPr>
        <w:t xml:space="preserve">iii</w:t>
      </w:r>
      <w:r>
        <w:rPr/>
        <w:t xml:space="preserve">, 16 ; Jean </w:t>
      </w:r>
      <w:r>
        <w:rPr>
          <w:smallCaps/>
        </w:rPr>
        <w:t xml:space="preserve">xx</w:t>
      </w:r>
      <w:r>
        <w:rPr/>
        <w:t xml:space="preserve">, 22, etc., etc.</w:t>
      </w:r>
    </w:p>
  </w:footnote>
  <w:footnote w:id="21">
    <w:p>
      <w:pPr>
        <w:pStyle w:val="Notedebasdepage"/>
      </w:pPr>
      <w:r>
        <w:rPr>
          <w:rStyle w:val="Appelnotedebasdep"/>
        </w:rPr>
        <w:footnoteRef/>
        <w:t xml:space="preserve"> </w:t>
      </w:r>
      <w:r>
        <w:rPr/>
        <w:t xml:space="preserve">Wie sie klingeln, die Pfaffen, wie angelegen Sie’s machen,</w:t>
      </w:r>
    </w:p>
    <w:p>
      <w:pPr>
        <w:pStyle w:val="Notedebasdepage"/>
      </w:pPr>
      <w:r>
        <w:rPr/>
        <w:t xml:space="preserve">Dass man komme, nur ja plappre, wie gestern, so heut.</w:t>
      </w:r>
    </w:p>
    <w:p>
      <w:pPr>
        <w:pStyle w:val="Notedebasdepage"/>
      </w:pPr>
      <w:r>
        <w:rPr/>
        <w:t xml:space="preserve">Scheltet mir nicht die Pfaffen ! Sie kennen des Menschen Bedürfniss ;</w:t>
      </w:r>
    </w:p>
    <w:p>
      <w:pPr>
        <w:pStyle w:val="Notedebasdepage"/>
      </w:pPr>
      <w:r>
        <w:rPr/>
        <w:t xml:space="preserve">Denn wie ist er beglückt, plappert er morgen wie heut.</w:t>
      </w:r>
    </w:p>
    <w:p>
      <w:pPr>
        <w:pStyle w:val="Notedebasdepage"/>
      </w:pPr>
      <w:r>
        <w:rPr/>
        <w:t xml:space="preserve">G</w:t>
      </w:r>
      <w:r>
        <w:rPr>
          <w:smallCaps/>
        </w:rPr>
        <w:t xml:space="preserve">œthe</w:t>
      </w:r>
      <w:r>
        <w:rPr/>
        <w:t xml:space="preserve">, </w:t>
      </w:r>
      <w:r>
        <w:rPr>
          <w:i/>
        </w:rPr>
        <w:t xml:space="preserve">(Épigrammes vénitiennes, 11).</w:t>
      </w:r>
    </w:p>
  </w:footnote>
  <w:footnote w:id="22">
    <w:p>
      <w:pPr>
        <w:pStyle w:val="Notedebasdepage"/>
      </w:pPr>
      <w:r>
        <w:rPr>
          <w:rStyle w:val="Appelnotedebasdep"/>
        </w:rPr>
        <w:footnoteRef/>
        <w:t xml:space="preserve"> </w:t>
      </w:r>
      <w:r>
        <w:rPr>
          <w:i/>
        </w:rPr>
        <w:t xml:space="preserve">En français dans le texte.</w:t>
      </w:r>
      <w:r>
        <w:rPr/>
        <w:t xml:space="preserve"> (N. D. T.)</w:t>
      </w:r>
    </w:p>
  </w:footnote>
  <w:footnote w:id="23">
    <w:p>
      <w:pPr>
        <w:pStyle w:val="Notedebasdepage"/>
      </w:pPr>
      <w:r>
        <w:rPr>
          <w:rStyle w:val="Appelnotedebasdep"/>
        </w:rPr>
        <w:footnoteRef/>
        <w:t xml:space="preserve"> </w:t>
      </w:r>
      <w:r>
        <w:rPr>
          <w:i/>
        </w:rPr>
        <w:t xml:space="preserve">En français dans le texte.</w:t>
      </w:r>
      <w:r>
        <w:rPr/>
        <w:t xml:space="preserve"> (N. D. T.)</w:t>
      </w:r>
    </w:p>
  </w:footnote>
  <w:footnote w:id="24">
    <w:p>
      <w:pPr>
        <w:pStyle w:val="Notedebasdepage"/>
      </w:pPr>
      <w:r>
        <w:rPr>
          <w:rStyle w:val="Appelnotedebasdep"/>
        </w:rPr>
        <w:footnoteRef/>
        <w:t xml:space="preserve"> </w:t>
      </w:r>
      <w:r>
        <w:rPr/>
        <w:t xml:space="preserve">« </w:t>
      </w:r>
      <w:r>
        <w:rPr>
          <w:i/>
        </w:rPr>
        <w:t xml:space="preserve">Non sens</w:t>
      </w:r>
      <w:r>
        <w:rPr/>
        <w:t xml:space="preserve"> » </w:t>
      </w:r>
      <w:r>
        <w:rPr>
          <w:i/>
        </w:rPr>
        <w:t xml:space="preserve">en français dans le texte.</w:t>
      </w:r>
      <w:r>
        <w:rPr/>
        <w:t xml:space="preserve"> (N. D. Tr.)</w:t>
      </w:r>
    </w:p>
  </w:footnote>
  <w:footnote w:id="25">
    <w:p>
      <w:pPr>
        <w:pStyle w:val="Notedebasdepage"/>
      </w:pPr>
      <w:r>
        <w:rPr>
          <w:rStyle w:val="Appelnotedebasdep"/>
        </w:rPr>
        <w:footnoteRef/>
        <w:t xml:space="preserve"> </w:t>
      </w:r>
      <w:r>
        <w:rPr/>
        <w:t xml:space="preserve">Achtzehntes Jahrhundert, 11, 519.</w:t>
      </w:r>
    </w:p>
  </w:footnote>
  <w:footnote w:id="26">
    <w:p>
      <w:pPr>
        <w:pStyle w:val="Notedebasdepage"/>
      </w:pPr>
      <w:r>
        <w:rPr>
          <w:rStyle w:val="Appelnotedebasdep"/>
        </w:rPr>
        <w:footnoteRef/>
        <w:t xml:space="preserve"> </w:t>
      </w:r>
      <w:r>
        <w:rPr/>
        <w:t xml:space="preserve">P</w:t>
      </w:r>
      <w:r>
        <w:rPr>
          <w:smallCaps/>
        </w:rPr>
        <w:t xml:space="preserve">roudhon</w:t>
      </w:r>
      <w:r>
        <w:rPr/>
        <w:t xml:space="preserve">, </w:t>
      </w:r>
      <w:r>
        <w:rPr>
          <w:i/>
        </w:rPr>
        <w:t xml:space="preserve">De la création de l’ordre</w:t>
      </w:r>
      <w:r>
        <w:rPr/>
        <w:t xml:space="preserve">, p. 36.</w:t>
      </w:r>
    </w:p>
  </w:footnote>
  <w:footnote w:id="27">
    <w:p>
      <w:pPr>
        <w:pStyle w:val="Notedebasdepage"/>
      </w:pPr>
      <w:r>
        <w:rPr>
          <w:rStyle w:val="Appelnotedebasdep"/>
        </w:rPr>
        <w:footnoteRef/>
        <w:t xml:space="preserve"> </w:t>
      </w:r>
      <w:r>
        <w:rPr/>
        <w:t xml:space="preserve">F</w:t>
      </w:r>
      <w:r>
        <w:rPr>
          <w:smallCaps/>
        </w:rPr>
        <w:t xml:space="preserve">euerbach</w:t>
      </w:r>
      <w:r>
        <w:rPr/>
        <w:t xml:space="preserve">, </w:t>
      </w:r>
      <w:r>
        <w:rPr>
          <w:i/>
        </w:rPr>
        <w:t xml:space="preserve">Anekdota</w:t>
      </w:r>
      <w:r>
        <w:rPr/>
        <w:t xml:space="preserve">, 11, 64.</w:t>
      </w:r>
    </w:p>
  </w:footnote>
  <w:footnote w:id="28">
    <w:p>
      <w:pPr>
        <w:pStyle w:val="Notedebasdepage"/>
      </w:pPr>
      <w:r>
        <w:rPr>
          <w:rStyle w:val="Appelnotedebasdep"/>
        </w:rPr>
        <w:footnoteRef/>
        <w:t xml:space="preserve"> </w:t>
      </w:r>
      <w:r>
        <w:rPr>
          <w:i/>
        </w:rPr>
        <w:t xml:space="preserve">Wesen des Christentums, zw. Aufl.</w:t>
      </w:r>
      <w:r>
        <w:rPr/>
        <w:t xml:space="preserve">, p. 402.</w:t>
      </w:r>
    </w:p>
  </w:footnote>
  <w:footnote w:id="29">
    <w:p>
      <w:pPr>
        <w:pStyle w:val="Notedebasdepage"/>
      </w:pPr>
      <w:r>
        <w:rPr>
          <w:rStyle w:val="Appelnotedebasdep"/>
        </w:rPr>
        <w:footnoteRef/>
        <w:t xml:space="preserve"> </w:t>
      </w:r>
      <w:r>
        <w:rPr/>
        <w:t xml:space="preserve">P. 403.</w:t>
      </w:r>
    </w:p>
  </w:footnote>
  <w:footnote w:id="30">
    <w:p>
      <w:pPr>
        <w:pStyle w:val="Notedebasdepage"/>
      </w:pPr>
      <w:r>
        <w:rPr>
          <w:rStyle w:val="Appelnotedebasdep"/>
        </w:rPr>
        <w:footnoteRef/>
        <w:t xml:space="preserve"> </w:t>
      </w:r>
      <w:r>
        <w:rPr/>
        <w:t xml:space="preserve">P. 408.</w:t>
      </w:r>
    </w:p>
  </w:footnote>
  <w:footnote w:id="31">
    <w:p>
      <w:pPr>
        <w:pStyle w:val="Notedebasdepage"/>
      </w:pPr>
      <w:r>
        <w:rPr>
          <w:rStyle w:val="Appelnotedebasdep"/>
        </w:rPr>
        <w:footnoteRef/>
        <w:t xml:space="preserve"> </w:t>
      </w:r>
      <w:r>
        <w:rPr/>
        <w:t xml:space="preserve">Rousseau, les Philanthropes et d’autres ont combattu la culture de l’esprit et de l’intelligence, mais ils oubliaient que cette intelligence est le fond de </w:t>
      </w:r>
      <w:r>
        <w:rPr>
          <w:i/>
        </w:rPr>
        <w:t xml:space="preserve">toute</w:t>
      </w:r>
      <w:r>
        <w:rPr/>
        <w:t xml:space="preserve"> âme chrétienne, et leur critique n’atteignait que l’excès de civilisation, les raffinements de la culture spirituelle.</w:t>
      </w:r>
    </w:p>
  </w:footnote>
  <w:footnote w:id="32">
    <w:p>
      <w:pPr>
        <w:pStyle w:val="Notedebasdepage"/>
      </w:pPr>
      <w:r>
        <w:rPr>
          <w:rStyle w:val="Appelnotedebasdep"/>
        </w:rPr>
        <w:footnoteRef/>
        <w:t xml:space="preserve"> </w:t>
      </w:r>
      <w:r>
        <w:rPr/>
        <w:t xml:space="preserve">B</w:t>
      </w:r>
      <w:r>
        <w:rPr>
          <w:smallCaps/>
        </w:rPr>
        <w:t xml:space="preserve">r</w:t>
      </w:r>
      <w:r>
        <w:rPr/>
        <w:t xml:space="preserve">. B</w:t>
      </w:r>
      <w:r>
        <w:rPr>
          <w:smallCaps/>
        </w:rPr>
        <w:t xml:space="preserve">auer</w:t>
      </w:r>
      <w:r>
        <w:rPr/>
        <w:t xml:space="preserve">, « Denkwurdigkeiten », </w:t>
      </w:r>
      <w:r>
        <w:rPr>
          <w:smallCaps/>
        </w:rPr>
        <w:t xml:space="preserve">vi</w:t>
      </w:r>
      <w:r>
        <w:rPr/>
        <w:t xml:space="preserve">, p. 7.</w:t>
      </w:r>
    </w:p>
  </w:footnote>
  <w:footnote w:id="33">
    <w:p>
      <w:pPr>
        <w:pStyle w:val="Notedebasdepage"/>
      </w:pPr>
      <w:r>
        <w:rPr>
          <w:rStyle w:val="Appelnotedebasdep"/>
        </w:rPr>
        <w:footnoteRef/>
        <w:t xml:space="preserve"> </w:t>
      </w:r>
      <w:r>
        <w:rPr>
          <w:i/>
        </w:rPr>
        <w:t xml:space="preserve">Id.</w:t>
      </w:r>
      <w:r>
        <w:rPr/>
        <w:t xml:space="preserve">, p. 6.</w:t>
      </w:r>
    </w:p>
  </w:footnote>
  <w:footnote w:id="34">
    <w:p>
      <w:pPr>
        <w:pStyle w:val="Notedebasdepage"/>
      </w:pPr>
      <w:r>
        <w:rPr>
          <w:rStyle w:val="Appelnotedebasdep"/>
        </w:rPr>
        <w:footnoteRef/>
        <w:t xml:space="preserve"> </w:t>
      </w:r>
      <w:r>
        <w:rPr/>
        <w:t xml:space="preserve">S</w:t>
      </w:r>
      <w:r>
        <w:rPr>
          <w:smallCaps/>
        </w:rPr>
        <w:t xml:space="preserve">aint</w:t>
      </w:r>
      <w:r>
        <w:rPr/>
        <w:t xml:space="preserve">-J</w:t>
      </w:r>
      <w:r>
        <w:rPr>
          <w:smallCaps/>
        </w:rPr>
        <w:t xml:space="preserve">ust</w:t>
      </w:r>
      <w:r>
        <w:rPr/>
        <w:t xml:space="preserve">, Rapport à la Convention, 11 germinal, an II.</w:t>
      </w:r>
    </w:p>
  </w:footnote>
  <w:footnote w:id="35">
    <w:p>
      <w:pPr>
        <w:pStyle w:val="Notedebasdepage"/>
      </w:pPr>
      <w:r>
        <w:rPr>
          <w:rStyle w:val="Appelnotedebasdep"/>
        </w:rPr>
        <w:footnoteRef/>
        <w:t xml:space="preserve"> </w:t>
      </w:r>
      <w:r>
        <w:rPr/>
        <w:t xml:space="preserve">Volksphilosophie unserer Tage, p. 22.</w:t>
      </w:r>
    </w:p>
  </w:footnote>
  <w:footnote w:id="36">
    <w:p>
      <w:pPr>
        <w:pStyle w:val="Notedebasdepage"/>
      </w:pPr>
      <w:r>
        <w:rPr>
          <w:rStyle w:val="Appelnotedebasdep"/>
        </w:rPr>
        <w:footnoteRef/>
        <w:t xml:space="preserve"> </w:t>
      </w:r>
      <w:r>
        <w:rPr>
          <w:i/>
        </w:rPr>
        <w:t xml:space="preserve">Idem</w:t>
      </w:r>
      <w:r>
        <w:rPr/>
        <w:t xml:space="preserve">. p. 32.</w:t>
      </w:r>
    </w:p>
  </w:footnote>
  <w:footnote w:id="37">
    <w:p>
      <w:pPr>
        <w:pStyle w:val="Notedebasdepage"/>
      </w:pPr>
      <w:r>
        <w:rPr>
          <w:rStyle w:val="Appelnotedebasdep"/>
        </w:rPr>
        <w:footnoteRef/>
        <w:t xml:space="preserve"> </w:t>
      </w:r>
      <w:r>
        <w:rPr>
          <w:i/>
        </w:rPr>
        <w:t xml:space="preserve">Faust, I</w:t>
      </w:r>
      <w:r>
        <w:rPr>
          <w:i/>
        </w:rPr>
        <w:t xml:space="preserve">N. d. Tr.</w:t>
      </w:r>
    </w:p>
  </w:footnote>
  <w:footnote w:id="38">
    <w:p>
      <w:pPr>
        <w:pStyle w:val="Notedebasdepage"/>
      </w:pPr>
      <w:r>
        <w:rPr>
          <w:rStyle w:val="Appelnotedebasdep"/>
        </w:rPr>
        <w:footnoteRef/>
        <w:t xml:space="preserve"> </w:t>
      </w:r>
      <w:r>
        <w:rPr/>
        <w:t xml:space="preserve">Jean, </w:t>
      </w:r>
      <w:r>
        <w:rPr>
          <w:smallCaps/>
        </w:rPr>
        <w:t xml:space="preserve">ii</w:t>
      </w:r>
      <w:r>
        <w:rPr/>
        <w:t xml:space="preserve">, 4.</w:t>
      </w:r>
    </w:p>
  </w:footnote>
  <w:footnote w:id="39">
    <w:p>
      <w:pPr>
        <w:pStyle w:val="Notedebasdepage"/>
      </w:pPr>
      <w:r>
        <w:rPr>
          <w:rStyle w:val="Appelnotedebasdep"/>
        </w:rPr>
        <w:footnoteRef/>
        <w:t xml:space="preserve"> </w:t>
      </w:r>
      <w:r>
        <w:rPr/>
        <w:t xml:space="preserve">Mathieu, </w:t>
      </w:r>
      <w:r>
        <w:rPr>
          <w:smallCaps/>
        </w:rPr>
        <w:t xml:space="preserve">x</w:t>
      </w:r>
      <w:r>
        <w:rPr/>
        <w:t xml:space="preserve">, 35.</w:t>
      </w:r>
    </w:p>
  </w:footnote>
  <w:footnote w:id="40">
    <w:p>
      <w:pPr>
        <w:pStyle w:val="Notedebasdepage"/>
      </w:pPr>
      <w:r>
        <w:rPr>
          <w:rStyle w:val="Appelnotedebasdep"/>
        </w:rPr>
        <w:footnoteRef/>
        <w:t xml:space="preserve"> </w:t>
      </w:r>
      <w:r>
        <w:rPr>
          <w:i/>
        </w:rPr>
        <w:t xml:space="preserve">Wesen des Christentums</w:t>
      </w:r>
      <w:r>
        <w:rPr/>
        <w:t xml:space="preserve">, p. 408.</w:t>
      </w:r>
    </w:p>
  </w:footnote>
  <w:footnote w:id="41">
    <w:p>
      <w:pPr>
        <w:pStyle w:val="Notedebasdepage"/>
      </w:pPr>
      <w:r>
        <w:rPr>
          <w:rStyle w:val="Appelnotedebasdep"/>
        </w:rPr>
        <w:footnoteRef/>
        <w:t xml:space="preserve"> </w:t>
      </w:r>
      <w:r>
        <w:rPr/>
        <w:t xml:space="preserve">Mathieu, </w:t>
      </w:r>
      <w:r>
        <w:rPr>
          <w:smallCaps/>
        </w:rPr>
        <w:t xml:space="preserve">xi</w:t>
      </w:r>
      <w:r>
        <w:rPr/>
        <w:t xml:space="preserve">, 27.</w:t>
      </w:r>
    </w:p>
  </w:footnote>
  <w:footnote w:id="42">
    <w:p>
      <w:pPr>
        <w:pStyle w:val="Notedebasdepage"/>
      </w:pPr>
      <w:r>
        <w:rPr>
          <w:rStyle w:val="Appelnotedebasdep"/>
        </w:rPr>
        <w:footnoteRef/>
        <w:t xml:space="preserve"> </w:t>
      </w:r>
      <w:r>
        <w:rPr/>
        <w:t xml:space="preserve">Luc, </w:t>
      </w:r>
      <w:r>
        <w:rPr>
          <w:smallCaps/>
        </w:rPr>
        <w:t xml:space="preserve">xvii</w:t>
      </w:r>
      <w:r>
        <w:rPr/>
        <w:t xml:space="preserve">, 6.</w:t>
      </w:r>
    </w:p>
  </w:footnote>
  <w:footnote w:id="43">
    <w:p>
      <w:pPr>
        <w:pStyle w:val="Notedebasdepage"/>
      </w:pPr>
      <w:r>
        <w:rPr>
          <w:rStyle w:val="Appelnotedebasdep"/>
        </w:rPr>
        <w:footnoteRef/>
        <w:t xml:space="preserve"> </w:t>
      </w:r>
      <w:r>
        <w:rPr/>
        <w:t xml:space="preserve">Marc, </w:t>
      </w:r>
      <w:r>
        <w:rPr>
          <w:smallCaps/>
        </w:rPr>
        <w:t xml:space="preserve">ix</w:t>
      </w:r>
      <w:r>
        <w:rPr/>
        <w:t xml:space="preserve">, 22.</w:t>
      </w:r>
    </w:p>
  </w:footnote>
  <w:footnote w:id="44">
    <w:p>
      <w:pPr>
        <w:pStyle w:val="Notedebasdepage"/>
      </w:pPr>
      <w:r>
        <w:rPr>
          <w:rStyle w:val="Appelnotedebasdep"/>
        </w:rPr>
        <w:footnoteRef/>
        <w:t xml:space="preserve"> </w:t>
      </w:r>
      <w:r>
        <w:rPr/>
        <w:t xml:space="preserve">1</w:t>
      </w:r>
      <w:r>
        <w:rPr>
          <w:vertAlign w:val="superscript"/>
        </w:rPr>
        <w:t>re</w:t>
      </w:r>
      <w:r>
        <w:rPr/>
        <w:t xml:space="preserve"> aux Corinthiens, </w:t>
      </w:r>
      <w:r>
        <w:rPr>
          <w:smallCaps/>
        </w:rPr>
        <w:t xml:space="preserve">viii</w:t>
      </w:r>
      <w:r>
        <w:rPr/>
        <w:t xml:space="preserve">, 4.</w:t>
      </w:r>
    </w:p>
  </w:footnote>
  <w:footnote w:id="45">
    <w:p>
      <w:pPr>
        <w:pStyle w:val="Notedebasdepage"/>
      </w:pPr>
      <w:r>
        <w:rPr>
          <w:rStyle w:val="Appelnotedebasdep"/>
        </w:rPr>
        <w:footnoteRef/>
        <w:t xml:space="preserve"> </w:t>
      </w:r>
      <w:r>
        <w:rPr>
          <w:i/>
        </w:rPr>
        <w:t xml:space="preserve"> En français dans le texte.</w:t>
      </w:r>
      <w:r>
        <w:rPr/>
        <w:t xml:space="preserve"> (N. d. Tr.)</w:t>
      </w:r>
    </w:p>
  </w:footnote>
  <w:footnote w:id="46">
    <w:p>
      <w:pPr>
        <w:pStyle w:val="Notedebasdepage"/>
      </w:pPr>
      <w:r>
        <w:rPr>
          <w:rStyle w:val="Appelnotedebasdep"/>
        </w:rPr>
        <w:footnoteRef/>
        <w:t xml:space="preserve"> </w:t>
      </w:r>
      <w:r>
        <w:rPr/>
        <w:t xml:space="preserve">L</w:t>
      </w:r>
      <w:r>
        <w:rPr>
          <w:smallCaps/>
        </w:rPr>
        <w:t xml:space="preserve">ouis</w:t>
      </w:r>
      <w:r>
        <w:rPr/>
        <w:t xml:space="preserve"> B</w:t>
      </w:r>
      <w:r>
        <w:rPr>
          <w:smallCaps/>
        </w:rPr>
        <w:t xml:space="preserve">lanc</w:t>
      </w:r>
      <w:r>
        <w:rPr/>
        <w:t xml:space="preserve"> dit en parlant de la Restauration, (Histoire de dix ans, 1, p. 138) : « Le protestantisme devint le fond des idées et des mœurs. »</w:t>
      </w:r>
    </w:p>
  </w:footnote>
  <w:footnote w:id="47">
    <w:p>
      <w:pPr>
        <w:pStyle w:val="Notedebasdepage"/>
      </w:pPr>
      <w:r>
        <w:rPr>
          <w:rStyle w:val="Appelnotedebasdep"/>
        </w:rPr>
        <w:footnoteRef/>
        <w:t xml:space="preserve"> </w:t>
      </w:r>
      <w:r>
        <w:rPr>
          <w:i/>
        </w:rPr>
        <w:t xml:space="preserve">En français dans le texte.</w:t>
      </w:r>
      <w:r>
        <w:rPr/>
        <w:t xml:space="preserve"> (N. d. Tr.)</w:t>
      </w:r>
    </w:p>
  </w:footnote>
  <w:footnote w:id="48">
    <w:p>
      <w:pPr>
        <w:pStyle w:val="Notedebasdepage"/>
      </w:pPr>
      <w:r>
        <w:rPr>
          <w:rStyle w:val="Appelnotedebasdep"/>
        </w:rPr>
        <w:footnoteRef/>
        <w:t xml:space="preserve"> </w:t>
      </w:r>
      <w:r>
        <w:rPr>
          <w:i/>
        </w:rPr>
        <w:t xml:space="preserve">Idem</w:t>
      </w:r>
      <w:r>
        <w:rPr/>
        <w:t xml:space="preserve">.</w:t>
      </w:r>
    </w:p>
  </w:footnote>
  <w:footnote w:id="49">
    <w:p>
      <w:pPr>
        <w:pStyle w:val="Notedebasdepage"/>
      </w:pPr>
      <w:r>
        <w:rPr>
          <w:rStyle w:val="Appelnotedebasdep"/>
        </w:rPr>
        <w:footnoteRef/>
        <w:t xml:space="preserve"> </w:t>
      </w:r>
      <w:r>
        <w:rPr>
          <w:i/>
        </w:rPr>
        <w:t xml:space="preserve">En français dans le texte.</w:t>
      </w:r>
      <w:r>
        <w:rPr/>
        <w:t xml:space="preserve"> (N. d. Tr.)</w:t>
      </w:r>
    </w:p>
  </w:footnote>
  <w:footnote w:id="50">
    <w:p>
      <w:pPr>
        <w:pStyle w:val="Notedebasdepage"/>
      </w:pPr>
      <w:r>
        <w:rPr>
          <w:rStyle w:val="Appelnotedebasdep"/>
        </w:rPr>
        <w:footnoteRef/>
        <w:t xml:space="preserve"> </w:t>
      </w:r>
      <w:r>
        <w:rPr/>
        <w:t xml:space="preserve">P</w:t>
      </w:r>
      <w:r>
        <w:rPr>
          <w:smallCaps/>
        </w:rPr>
        <w:t xml:space="preserve">roudhon</w:t>
      </w:r>
      <w:r>
        <w:rPr/>
        <w:t xml:space="preserve">, par exemple, s’écrie (De la création de l’ordre, p. 414) : « Dans l’industrie comme dans la science, rendre publique une découverte est le premier et </w:t>
      </w:r>
      <w:r>
        <w:rPr>
          <w:i/>
        </w:rPr>
        <w:t xml:space="preserve">le plus sacré des devoirs !</w:t>
      </w:r>
      <w:r>
        <w:rPr/>
        <w:t xml:space="preserve"> »</w:t>
      </w:r>
    </w:p>
  </w:footnote>
  <w:footnote w:id="51">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Lit. Ztg.</w:t>
      </w:r>
      <w:r>
        <w:rPr/>
        <w:t xml:space="preserve"> V. 18.</w:t>
      </w:r>
    </w:p>
  </w:footnote>
  <w:footnote w:id="52">
    <w:p>
      <w:pPr>
        <w:pStyle w:val="Notedebasdepage"/>
      </w:pPr>
      <w:r>
        <w:rPr>
          <w:rStyle w:val="Appelnotedebasdep"/>
        </w:rPr>
        <w:footnoteRef/>
        <w:t xml:space="preserve"> </w:t>
      </w:r>
      <w:r>
        <w:rPr>
          <w:i/>
        </w:rPr>
        <w:t xml:space="preserve">Lit. Ztg.</w:t>
      </w:r>
      <w:r>
        <w:rPr/>
        <w:t xml:space="preserve"> V, 26.</w:t>
      </w:r>
    </w:p>
  </w:footnote>
  <w:footnote w:id="53">
    <w:p>
      <w:pPr>
        <w:pStyle w:val="Notedebasdepage"/>
      </w:pPr>
      <w:r>
        <w:rPr>
          <w:rStyle w:val="Appelnotedebasdep"/>
        </w:rPr>
        <w:footnoteRef/>
        <w:t xml:space="preserve"> </w:t>
      </w:r>
      <w:r>
        <w:rPr>
          <w:i/>
        </w:rPr>
        <w:t xml:space="preserve">Jeu de mots intraduisible sur les mots « Meinung » (opinion) et « Mein » (mien). (N. du Tr.)</w:t>
      </w:r>
    </w:p>
  </w:footnote>
  <w:footnote w:id="54">
    <w:p>
      <w:pPr>
        <w:pStyle w:val="Notedebasdepage"/>
      </w:pPr>
      <w:r>
        <w:rPr>
          <w:rStyle w:val="Appelnotedebasdep"/>
        </w:rPr>
        <w:footnoteRef/>
        <w:t xml:space="preserve"> </w:t>
      </w:r>
      <w:r>
        <w:rPr>
          <w:i/>
        </w:rPr>
        <w:t xml:space="preserve">Lit. Ztg.</w:t>
      </w:r>
      <w:r>
        <w:rPr/>
        <w:t xml:space="preserve">, V, 24.</w:t>
      </w:r>
    </w:p>
  </w:footnote>
  <w:footnote w:id="55">
    <w:p>
      <w:pPr>
        <w:pStyle w:val="Notedebasdepage"/>
      </w:pPr>
      <w:r>
        <w:rPr>
          <w:rStyle w:val="Appelnotedebasdep"/>
        </w:rPr>
        <w:footnoteRef/>
        <w:t xml:space="preserve"> </w:t>
      </w:r>
      <w:r>
        <w:rPr>
          <w:i/>
        </w:rPr>
        <w:t xml:space="preserve">Ibid.</w:t>
      </w:r>
    </w:p>
  </w:footnote>
  <w:footnote w:id="56">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Judenfrage</w:t>
      </w:r>
      <w:r>
        <w:rPr/>
        <w:t xml:space="preserve">, p. 66.</w:t>
      </w:r>
    </w:p>
  </w:footnote>
  <w:footnote w:id="57">
    <w:p>
      <w:pPr>
        <w:pStyle w:val="Notedebasdepage"/>
      </w:pPr>
      <w:r>
        <w:rPr>
          <w:rStyle w:val="Appelnotedebasdep"/>
        </w:rPr>
        <w:footnoteRef/>
        <w:t xml:space="preserve"> </w:t>
      </w:r>
      <w:r>
        <w:rPr>
          <w:i/>
        </w:rPr>
        <w:t xml:space="preserve">Id.</w:t>
      </w:r>
      <w:r>
        <w:rPr/>
        <w:t xml:space="preserve">, p. 60.</w:t>
      </w:r>
    </w:p>
  </w:footnote>
  <w:footnote w:id="58">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Die gute Sache der Freiheit</w:t>
      </w:r>
      <w:r>
        <w:rPr/>
        <w:t xml:space="preserve">, p. 62-63.</w:t>
      </w:r>
    </w:p>
  </w:footnote>
  <w:footnote w:id="59">
    <w:p>
      <w:pPr>
        <w:pStyle w:val="Notedebasdepage"/>
      </w:pPr>
      <w:r>
        <w:rPr>
          <w:rStyle w:val="Appelnotedebasdep"/>
        </w:rPr>
        <w:footnoteRef/>
        <w:t xml:space="preserve"> </w:t>
      </w:r>
      <w:r>
        <w:rPr>
          <w:i/>
        </w:rPr>
        <w:t xml:space="preserve">Lit. Ztg.</w:t>
      </w:r>
      <w:r>
        <w:rPr/>
        <w:t xml:space="preserve">, v, 23, v. 12 sqs.</w:t>
      </w:r>
    </w:p>
  </w:footnote>
  <w:footnote w:id="60">
    <w:p>
      <w:pPr>
        <w:pStyle w:val="Notedebasdepage"/>
      </w:pPr>
      <w:r>
        <w:rPr>
          <w:rStyle w:val="Appelnotedebasdep"/>
        </w:rPr>
        <w:footnoteRef/>
        <w:t xml:space="preserve"> </w:t>
      </w:r>
      <w:r>
        <w:rPr>
          <w:i/>
        </w:rPr>
        <w:t xml:space="preserve">Lit. Ztg.</w:t>
      </w:r>
      <w:r>
        <w:rPr/>
        <w:t xml:space="preserve">, v. 15.</w:t>
      </w:r>
    </w:p>
  </w:footnote>
  <w:footnote w:id="61">
    <w:p>
      <w:pPr>
        <w:pStyle w:val="Notedebasdepage"/>
      </w:pPr>
      <w:r>
        <w:rPr>
          <w:rStyle w:val="Appelnotedebasdep"/>
        </w:rPr>
        <w:footnoteRef/>
        <w:t xml:space="preserve"> </w:t>
      </w:r>
      <w:r>
        <w:rPr/>
        <w:t xml:space="preserve">Ep. aux Romains, </w:t>
      </w:r>
      <w:r>
        <w:rPr>
          <w:smallCaps/>
        </w:rPr>
        <w:t xml:space="preserve">vi</w:t>
      </w:r>
      <w:r>
        <w:rPr/>
        <w:t xml:space="preserve">, 18.</w:t>
      </w:r>
    </w:p>
  </w:footnote>
  <w:footnote w:id="62">
    <w:p>
      <w:pPr>
        <w:pStyle w:val="Notedebasdepage"/>
      </w:pPr>
      <w:r>
        <w:rPr>
          <w:rStyle w:val="Appelnotedebasdep"/>
        </w:rPr>
        <w:footnoteRef/>
        <w:t xml:space="preserve"> </w:t>
      </w:r>
      <w:r>
        <w:rPr/>
        <w:t xml:space="preserve">1</w:t>
      </w:r>
      <w:r>
        <w:rPr>
          <w:vertAlign w:val="superscript"/>
        </w:rPr>
        <w:t>e</w:t>
      </w:r>
      <w:r>
        <w:rPr/>
        <w:t xml:space="preserve"> Ep. de Pierre, </w:t>
      </w:r>
      <w:r>
        <w:rPr>
          <w:smallCaps/>
        </w:rPr>
        <w:t xml:space="preserve">ii</w:t>
      </w:r>
      <w:r>
        <w:rPr/>
        <w:t xml:space="preserve">, 16.</w:t>
      </w:r>
    </w:p>
  </w:footnote>
  <w:footnote w:id="63">
    <w:p>
      <w:pPr>
        <w:pStyle w:val="Notedebasdepage"/>
      </w:pPr>
      <w:r>
        <w:rPr>
          <w:rStyle w:val="Appelnotedebasdep"/>
        </w:rPr>
        <w:footnoteRef/>
        <w:t xml:space="preserve"> </w:t>
      </w:r>
      <w:r>
        <w:rPr/>
        <w:t xml:space="preserve">Ep. de Jacques, </w:t>
      </w:r>
      <w:r>
        <w:rPr>
          <w:smallCaps/>
        </w:rPr>
        <w:t xml:space="preserve">ii</w:t>
      </w:r>
      <w:r>
        <w:rPr/>
        <w:t xml:space="preserve">, 12.</w:t>
      </w:r>
    </w:p>
  </w:footnote>
  <w:footnote w:id="64">
    <w:p>
      <w:pPr>
        <w:pStyle w:val="Notedebasdepage"/>
      </w:pPr>
      <w:r>
        <w:rPr>
          <w:rStyle w:val="Appelnotedebasdep"/>
        </w:rPr>
        <w:footnoteRef/>
        <w:t xml:space="preserve"> </w:t>
      </w:r>
      <w:r>
        <w:rPr/>
        <w:t xml:space="preserve">Ep. aux Romains, </w:t>
      </w:r>
      <w:r>
        <w:rPr>
          <w:smallCaps/>
        </w:rPr>
        <w:t xml:space="preserve">viii</w:t>
      </w:r>
      <w:r>
        <w:rPr/>
        <w:t xml:space="preserve">, 14.</w:t>
      </w:r>
    </w:p>
  </w:footnote>
  <w:footnote w:id="65">
    <w:p>
      <w:pPr>
        <w:pStyle w:val="Notedebasdepage"/>
      </w:pPr>
      <w:r>
        <w:rPr>
          <w:rStyle w:val="Appelnotedebasdep"/>
        </w:rPr>
        <w:footnoteRef/>
        <w:t xml:space="preserve"> </w:t>
      </w:r>
      <w:r>
        <w:rPr/>
        <w:t xml:space="preserve">I</w:t>
      </w:r>
      <w:r>
        <w:rPr>
          <w:vertAlign w:val="superscript"/>
        </w:rPr>
        <w:t>re</w:t>
      </w:r>
      <w:r>
        <w:rPr/>
        <w:t xml:space="preserve"> Ep. de Jean, </w:t>
      </w:r>
      <w:r>
        <w:rPr>
          <w:smallCaps/>
        </w:rPr>
        <w:t xml:space="preserve">iii</w:t>
      </w:r>
      <w:r>
        <w:rPr/>
        <w:t xml:space="preserve"> 10.</w:t>
      </w:r>
    </w:p>
  </w:footnote>
  <w:footnote w:id="66">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Judenfrage</w:t>
      </w:r>
      <w:r>
        <w:rPr/>
        <w:t xml:space="preserve">, p. 61.</w:t>
      </w:r>
    </w:p>
  </w:footnote>
  <w:footnote w:id="67">
    <w:p>
      <w:pPr>
        <w:pStyle w:val="Notedebasdepage"/>
      </w:pPr>
      <w:r>
        <w:rPr>
          <w:rStyle w:val="Appelnotedebasdep"/>
        </w:rPr>
        <w:footnoteRef/>
        <w:t xml:space="preserve"> </w:t>
      </w:r>
      <w:r>
        <w:rPr/>
        <w:t xml:space="preserve">H</w:t>
      </w:r>
      <w:r>
        <w:rPr>
          <w:smallCaps/>
        </w:rPr>
        <w:t xml:space="preserve">ess</w:t>
      </w:r>
      <w:r>
        <w:rPr/>
        <w:t xml:space="preserve">, </w:t>
      </w:r>
      <w:r>
        <w:rPr>
          <w:i/>
        </w:rPr>
        <w:t xml:space="preserve">Triarchie</w:t>
      </w:r>
      <w:r>
        <w:rPr/>
        <w:t xml:space="preserve">, p. 76.</w:t>
      </w:r>
    </w:p>
  </w:footnote>
  <w:footnote w:id="68">
    <w:p>
      <w:pPr>
        <w:pStyle w:val="Notedebasdepage"/>
      </w:pPr>
      <w:r>
        <w:rPr>
          <w:rStyle w:val="Appelnotedebasdep"/>
        </w:rPr>
        <w:footnoteRef/>
        <w:t xml:space="preserve"> </w:t>
      </w:r>
      <w:r>
        <w:rPr>
          <w:i/>
        </w:rPr>
        <w:t xml:space="preserve">Wesen des Christentums</w:t>
      </w:r>
      <w:r>
        <w:rPr/>
        <w:t xml:space="preserve">, p. 401.</w:t>
      </w:r>
    </w:p>
  </w:footnote>
  <w:footnote w:id="69">
    <w:p>
      <w:pPr>
        <w:pStyle w:val="Notedebasdepage"/>
      </w:pPr>
      <w:r>
        <w:rPr>
          <w:rStyle w:val="Appelnotedebasdep"/>
        </w:rPr>
        <w:footnoteRef/>
        <w:t xml:space="preserve"> </w:t>
      </w:r>
      <w:r>
        <w:rPr/>
        <w:t xml:space="preserve">Marc, </w:t>
      </w:r>
      <w:r>
        <w:rPr>
          <w:smallCaps/>
        </w:rPr>
        <w:t xml:space="preserve">iii</w:t>
      </w:r>
      <w:r>
        <w:rPr/>
        <w:t xml:space="preserve">, 29.</w:t>
      </w:r>
    </w:p>
  </w:footnote>
  <w:footnote w:id="70">
    <w:p>
      <w:pPr>
        <w:pStyle w:val="Notedebasdepage"/>
      </w:pPr>
      <w:r>
        <w:rPr>
          <w:rStyle w:val="Appelnotedebasdep"/>
        </w:rPr>
        <w:footnoteRef/>
        <w:t xml:space="preserve"> </w:t>
      </w:r>
      <w:r>
        <w:rPr>
          <w:i/>
        </w:rPr>
        <w:t xml:space="preserve">En français dans le texte, N. d. Tr.</w:t>
      </w:r>
    </w:p>
  </w:footnote>
  <w:footnote w:id="71">
    <w:p>
      <w:pPr>
        <w:pStyle w:val="Notedebasdepage"/>
      </w:pPr>
      <w:r>
        <w:rPr>
          <w:rStyle w:val="Appelnotedebasdep"/>
        </w:rPr>
        <w:footnoteRef/>
        <w:t xml:space="preserve"> </w:t>
      </w:r>
      <w:r>
        <w:rPr/>
        <w:t xml:space="preserve">A. B</w:t>
      </w:r>
      <w:r>
        <w:rPr>
          <w:smallCaps/>
        </w:rPr>
        <w:t xml:space="preserve">ecker</w:t>
      </w:r>
      <w:r>
        <w:rPr/>
        <w:t xml:space="preserve">, </w:t>
      </w:r>
      <w:r>
        <w:rPr>
          <w:i/>
        </w:rPr>
        <w:t xml:space="preserve">Volksphilosophie</w:t>
      </w:r>
      <w:r>
        <w:rPr/>
        <w:t xml:space="preserve">, p. 22 sq.</w:t>
      </w:r>
    </w:p>
  </w:footnote>
  <w:footnote w:id="72">
    <w:p>
      <w:pPr>
        <w:pStyle w:val="Notedebasdepage"/>
      </w:pPr>
      <w:r>
        <w:rPr>
          <w:rStyle w:val="Appelnotedebasdep"/>
        </w:rPr>
        <w:footnoteRef/>
        <w:t xml:space="preserve"> </w:t>
      </w:r>
      <w:r>
        <w:rPr>
          <w:i/>
        </w:rPr>
        <w:t xml:space="preserve">Elisabeth d’Arnim, N. d. Tr.</w:t>
      </w:r>
    </w:p>
  </w:footnote>
  <w:footnote w:id="73">
    <w:p>
      <w:pPr>
        <w:pStyle w:val="Notedebasdepage"/>
      </w:pPr>
      <w:r>
        <w:rPr>
          <w:rStyle w:val="Appelnotedebasdep"/>
        </w:rPr>
        <w:footnoteRef/>
        <w:t xml:space="preserve"> </w:t>
      </w:r>
      <w:r>
        <w:rPr>
          <w:i/>
        </w:rPr>
        <w:t xml:space="preserve">Dies Buch gehört dem König</w:t>
      </w:r>
      <w:r>
        <w:rPr/>
        <w:t xml:space="preserve">, p. 376.</w:t>
      </w:r>
    </w:p>
  </w:footnote>
  <w:footnote w:id="74">
    <w:p>
      <w:pPr>
        <w:pStyle w:val="Notedebasdepage"/>
      </w:pPr>
      <w:r>
        <w:rPr>
          <w:rStyle w:val="Appelnotedebasdep"/>
        </w:rPr>
        <w:footnoteRef/>
        <w:t xml:space="preserve"> </w:t>
      </w:r>
      <w:r>
        <w:rPr/>
        <w:t xml:space="preserve">P. 376.</w:t>
      </w:r>
    </w:p>
  </w:footnote>
  <w:footnote w:id="75">
    <w:p>
      <w:pPr>
        <w:pStyle w:val="Notedebasdepage"/>
      </w:pPr>
      <w:r>
        <w:rPr>
          <w:rStyle w:val="Appelnotedebasdep"/>
        </w:rPr>
        <w:footnoteRef/>
        <w:t xml:space="preserve"> </w:t>
      </w:r>
      <w:r>
        <w:rPr/>
        <w:t xml:space="preserve">P. 374.</w:t>
      </w:r>
    </w:p>
  </w:footnote>
  <w:footnote w:id="76">
    <w:p>
      <w:pPr>
        <w:pStyle w:val="Notedebasdepage"/>
      </w:pPr>
      <w:r>
        <w:rPr>
          <w:rStyle w:val="Appelnotedebasdep"/>
        </w:rPr>
        <w:footnoteRef/>
        <w:t xml:space="preserve"> </w:t>
      </w:r>
      <w:r>
        <w:rPr>
          <w:i/>
        </w:rPr>
        <w:t xml:space="preserve">Jeu de mot intraduisible : « Rabenmutter », mère corbeau marâtre, — «  Rabenfutter », nourriture du corbeau, charogne. N. d. T.</w:t>
      </w:r>
    </w:p>
  </w:footnote>
  <w:footnote w:id="77">
    <w:p>
      <w:pPr>
        <w:pStyle w:val="Notedebasdepage"/>
      </w:pPr>
      <w:r>
        <w:rPr>
          <w:rStyle w:val="Appelnotedebasdep"/>
        </w:rPr>
        <w:footnoteRef/>
        <w:t xml:space="preserve"> </w:t>
      </w:r>
      <w:r>
        <w:rPr/>
        <w:t xml:space="preserve">P. 381.</w:t>
      </w:r>
    </w:p>
  </w:footnote>
  <w:footnote w:id="78">
    <w:p>
      <w:pPr>
        <w:pStyle w:val="Notedebasdepage"/>
      </w:pPr>
      <w:r>
        <w:rPr>
          <w:rStyle w:val="Appelnotedebasdep"/>
        </w:rPr>
        <w:footnoteRef/>
        <w:t xml:space="preserve"> </w:t>
      </w:r>
      <w:r>
        <w:rPr>
          <w:i/>
        </w:rPr>
        <w:t xml:space="preserve">Die Frau Rath, la Conseillère Goethe (la mère du poète) est le personnage principal du livre d’Elisabeth d’Arnim. N. d. Tr.</w:t>
      </w:r>
    </w:p>
    <w:p>
      <w:pPr>
        <w:pStyle w:val="Notedebasdepage"/>
      </w:pPr>
      <w:r>
        <w:rPr/>
        <w:t xml:space="preserve">P. 385.</w:t>
      </w:r>
    </w:p>
  </w:footnote>
  <w:footnote w:id="79">
    <w:p>
      <w:pPr>
        <w:pStyle w:val="Notedebasdepage"/>
      </w:pPr>
      <w:r>
        <w:rPr>
          <w:rStyle w:val="Appelnotedebasdep"/>
        </w:rPr>
        <w:footnoteRef/>
        <w:t xml:space="preserve"> </w:t>
      </w:r>
      <w:r>
        <w:rPr/>
        <w:t xml:space="preserve">P. 385.</w:t>
      </w:r>
    </w:p>
  </w:footnote>
  <w:footnote w:id="80">
    <w:p>
      <w:pPr>
        <w:pStyle w:val="Notedebasdepage"/>
      </w:pPr>
      <w:r>
        <w:rPr>
          <w:rStyle w:val="Appelnotedebasdep"/>
        </w:rPr>
        <w:footnoteRef/>
        <w:t xml:space="preserve"> </w:t>
      </w:r>
      <w:r>
        <w:rPr>
          <w:i/>
        </w:rPr>
        <w:t xml:space="preserve">Jeu de mot intraduisible : Als könnte mündig sein, wer keinen Mund hat : « Comme si on pouvait être majeur (mündig) quand on n’a pas de bouche (Mund) ». N. d. Tr.</w:t>
      </w:r>
    </w:p>
  </w:footnote>
  <w:footnote w:id="81">
    <w:p>
      <w:pPr>
        <w:pStyle w:val="Notedebasdepage"/>
      </w:pPr>
      <w:r>
        <w:rPr>
          <w:rStyle w:val="Appelnotedebasdep"/>
        </w:rPr>
        <w:footnoteRef/>
        <w:t xml:space="preserve"> </w:t>
      </w:r>
      <w:r>
        <w:rPr>
          <w:i/>
        </w:rPr>
        <w:t xml:space="preserve">« Par excellence », en français dans le texte. N. d. Tr</w:t>
      </w:r>
      <w:r>
        <w:rPr/>
        <w:t xml:space="preserve">.</w:t>
      </w:r>
    </w:p>
  </w:footnote>
  <w:footnote w:id="82">
    <w:p>
      <w:pPr>
        <w:pStyle w:val="Notedebasdepage"/>
      </w:pPr>
      <w:r>
        <w:rPr>
          <w:rStyle w:val="Appelnotedebasdep"/>
        </w:rPr>
        <w:footnoteRef/>
        <w:t xml:space="preserve"> </w:t>
      </w:r>
      <w:r>
        <w:rPr>
          <w:i/>
        </w:rPr>
        <w:t xml:space="preserve">Création de l’ordre</w:t>
      </w:r>
      <w:r>
        <w:rPr/>
        <w:t xml:space="preserve">, p. 485.</w:t>
      </w:r>
    </w:p>
  </w:footnote>
  <w:footnote w:id="83">
    <w:p>
      <w:pPr>
        <w:pStyle w:val="Notedebasdepage"/>
      </w:pPr>
      <w:r>
        <w:rPr>
          <w:rStyle w:val="Appelnotedebasdep"/>
        </w:rPr>
        <w:footnoteRef/>
        <w:t xml:space="preserve"> </w:t>
      </w:r>
      <w:r>
        <w:rPr/>
        <w:t xml:space="preserve">B</w:t>
      </w:r>
      <w:r>
        <w:rPr>
          <w:smallCaps/>
        </w:rPr>
        <w:t xml:space="preserve">r</w:t>
      </w:r>
      <w:r>
        <w:rPr/>
        <w:t xml:space="preserve">. B</w:t>
      </w:r>
      <w:r>
        <w:rPr>
          <w:smallCaps/>
        </w:rPr>
        <w:t xml:space="preserve">auer</w:t>
      </w:r>
      <w:r>
        <w:rPr/>
        <w:t xml:space="preserve">, </w:t>
      </w:r>
      <w:r>
        <w:rPr>
          <w:i/>
        </w:rPr>
        <w:t xml:space="preserve">Litt. Ztg.</w:t>
      </w:r>
      <w:r>
        <w:t xml:space="preserve"> </w:t>
      </w:r>
      <w:r>
        <w:rPr>
          <w:smallCaps/>
        </w:rPr>
        <w:t xml:space="preserve">viii</w:t>
      </w:r>
      <w:r>
        <w:rPr/>
        <w:t xml:space="preserve">, 22.</w:t>
      </w:r>
    </w:p>
  </w:footnote>
  <w:footnote w:id="84">
    <w:p>
      <w:pPr>
        <w:pStyle w:val="Notedebasdepage"/>
      </w:pPr>
      <w:r>
        <w:rPr>
          <w:rStyle w:val="Appelnotedebasdep"/>
        </w:rPr>
        <w:footnoteRef/>
        <w:t xml:space="preserve"> </w:t>
      </w:r>
      <w:r>
        <w:rPr/>
        <w:t xml:space="preserve">Voir par exemple : </w:t>
      </w:r>
      <w:r>
        <w:rPr>
          <w:i/>
        </w:rPr>
        <w:t xml:space="preserve">Qu’est-ce que la propriété</w:t>
      </w:r>
      <w:r>
        <w:rPr/>
        <w:t xml:space="preserve">, p. 83.</w:t>
      </w:r>
    </w:p>
  </w:footnote>
  <w:footnote w:id="85">
    <w:p>
      <w:pPr>
        <w:pStyle w:val="Notedebasdepage"/>
      </w:pPr>
      <w:r>
        <w:rPr>
          <w:rStyle w:val="Appelnotedebasdep"/>
        </w:rPr>
        <w:footnoteRef/>
        <w:t xml:space="preserve"> </w:t>
      </w:r>
      <w:r>
        <w:rPr>
          <w:i/>
        </w:rPr>
        <w:t xml:space="preserve">En français dans le texte. N. d. Tr.</w:t>
      </w:r>
    </w:p>
  </w:footnote>
  <w:footnote w:id="86">
    <w:p>
      <w:pPr>
        <w:pStyle w:val="Notedebasdepage"/>
      </w:pPr>
      <w:r>
        <w:rPr>
          <w:rStyle w:val="Appelnotedebasdep"/>
        </w:rPr>
        <w:footnoteRef/>
        <w:t xml:space="preserve"> </w:t>
      </w:r>
      <w:r>
        <w:rPr>
          <w:i/>
        </w:rPr>
        <w:t xml:space="preserve">Id.</w:t>
      </w:r>
    </w:p>
  </w:footnote>
  <w:footnote w:id="87">
    <w:p>
      <w:pPr>
        <w:pStyle w:val="Notedebasdepage"/>
      </w:pPr>
      <w:r>
        <w:rPr>
          <w:rStyle w:val="Appelnotedebasdep"/>
        </w:rPr>
        <w:footnoteRef/>
        <w:t xml:space="preserve"> </w:t>
      </w:r>
      <w:r>
        <w:rPr>
          <w:i/>
        </w:rPr>
        <w:t xml:space="preserve">En français dans le texte. N. d. Tr.</w:t>
      </w:r>
    </w:p>
  </w:footnote>
  <w:footnote w:id="88">
    <w:p>
      <w:pPr>
        <w:pStyle w:val="Notedebasdepage"/>
      </w:pPr>
      <w:r>
        <w:rPr>
          <w:rStyle w:val="Appelnotedebasdep"/>
        </w:rPr>
        <w:footnoteRef/>
        <w:t xml:space="preserve"> </w:t>
      </w:r>
      <w:r>
        <w:rPr>
          <w:i/>
        </w:rPr>
        <w:t xml:space="preserve">En français dans le texte. N. d. Tr.</w:t>
      </w:r>
    </w:p>
  </w:footnote>
  <w:footnote w:id="89">
    <w:p>
      <w:pPr>
        <w:pStyle w:val="Notedebasdepage"/>
      </w:pPr>
      <w:r>
        <w:rPr>
          <w:rStyle w:val="Appelnotedebasdep"/>
        </w:rPr>
        <w:footnoteRef/>
        <w:t xml:space="preserve"> </w:t>
      </w:r>
      <w:r>
        <w:rPr/>
        <w:t xml:space="preserve">Le gouvernement anglais, dans un projet de loi électorale pour l’Irlande, proposa d’accorder l’électorat à tous ceux qui payaient 5 livres sterling de taxe des pauvres. Celui qui fait l’aumône acquiert des droits politiques !</w:t>
      </w:r>
    </w:p>
  </w:footnote>
  <w:footnote w:id="90">
    <w:p>
      <w:pPr>
        <w:pStyle w:val="Notedebasdepage"/>
      </w:pPr>
      <w:r>
        <w:rPr>
          <w:rStyle w:val="Appelnotedebasdep"/>
        </w:rPr>
        <w:footnoteRef/>
        <w:t xml:space="preserve"> </w:t>
      </w:r>
      <w:r>
        <w:rPr>
          <w:i/>
        </w:rPr>
        <w:t xml:space="preserve">« Egalité » en français dans le texte. N. d. T.</w:t>
      </w:r>
    </w:p>
  </w:footnote>
  <w:footnote w:id="91">
    <w:p>
      <w:pPr>
        <w:pStyle w:val="Notedebasdepage"/>
      </w:pPr>
      <w:r>
        <w:rPr>
          <w:rStyle w:val="Appelnotedebasdep"/>
        </w:rPr>
        <w:footnoteRef/>
        <w:t xml:space="preserve"> </w:t>
      </w:r>
      <w:r>
        <w:rPr/>
        <w:t xml:space="preserve">Dans les collèges, les universités etc., on voit des pauvres concourir avec des riches. Mais cela ne leur est en général possible que grâce à des bourses, qui — cela est significatif — ont pour la plupart été fondées à une époque où la libre concurrence était encore loin d’être admise en principe. Le principe de la concurrence ne fonde pas de bourses d’études, mais il signifie : Aide-toi toi-même, c’est-à-dire procure-toi les moyens. Ce que l’Etat dépense dans ce but n’est qu’un placement à intérêt, destiné à lui procurer des « serviteurs ».</w:t>
      </w:r>
    </w:p>
  </w:footnote>
  <w:footnote w:id="92">
    <w:p>
      <w:pPr>
        <w:pStyle w:val="Notedebasdepage"/>
      </w:pPr>
      <w:r>
        <w:rPr>
          <w:rStyle w:val="Appelnotedebasdep"/>
        </w:rPr>
        <w:footnoteRef/>
        <w:t xml:space="preserve"> </w:t>
      </w:r>
      <w:r>
        <w:rPr>
          <w:i/>
        </w:rPr>
        <w:t xml:space="preserve">Le mot allemand « Vermögen » a un sens très étendu et signifie suivant les cas : force, puissance, faculté, moyen, richesse, fortune ou pécule. Nous le traduirons par richesse, en priant le lecteur de bien vouloir se rappeler que nous entendons par ce mot la richesse « instrument de production » et non « résultat de production ». C’est d’ailleurs le sens étymologique du mot français, qui, par sa racine germanique « rik » ou « reich », signifie « puissance », « Richesse c’est pouvoir » disait Hobbes. N. d. Tr.</w:t>
      </w:r>
    </w:p>
  </w:footnote>
  <w:footnote w:id="93">
    <w:p>
      <w:pPr>
        <w:pStyle w:val="Notedebasdepage"/>
      </w:pPr>
      <w:r>
        <w:rPr>
          <w:rStyle w:val="Appelnotedebasdep"/>
        </w:rPr>
        <w:footnoteRef/>
        <w:t xml:space="preserve"> </w:t>
      </w:r>
      <w:r>
        <w:rPr/>
        <w:t xml:space="preserve">II, p. 91 sqs.</w:t>
      </w:r>
    </w:p>
  </w:footnote>
  <w:footnote w:id="94">
    <w:p>
      <w:pPr>
        <w:pStyle w:val="Notedebasdepage"/>
      </w:pPr>
      <w:r>
        <w:rPr>
          <w:rStyle w:val="Appelnotedebasdep"/>
        </w:rPr>
        <w:footnoteRef/>
        <w:t xml:space="preserve"> </w:t>
      </w:r>
      <w:r>
        <w:rPr/>
        <w:t xml:space="preserve">Athanase.</w:t>
      </w:r>
    </w:p>
  </w:footnote>
  <w:footnote w:id="95">
    <w:p>
      <w:pPr>
        <w:pStyle w:val="Notedebasdepage"/>
      </w:pPr>
      <w:r>
        <w:rPr>
          <w:rStyle w:val="Appelnotedebasdep"/>
        </w:rPr>
        <w:footnoteRef/>
        <w:t xml:space="preserve"> </w:t>
      </w:r>
      <w:r>
        <w:rPr>
          <w:i/>
        </w:rPr>
        <w:t xml:space="preserve">« Vérité », en français dans le texte. N. d. Tr.</w:t>
      </w:r>
    </w:p>
  </w:footnote>
  <w:footnote w:id="96">
    <w:p>
      <w:pPr>
        <w:pStyle w:val="Notedebasdepage"/>
      </w:pPr>
      <w:r>
        <w:rPr>
          <w:rStyle w:val="Appelnotedebasdep"/>
        </w:rPr>
        <w:footnoteRef/>
        <w:t xml:space="preserve"> </w:t>
      </w:r>
      <w:r>
        <w:rPr>
          <w:i/>
        </w:rPr>
        <w:t xml:space="preserve">Voir l’étude de Max Stirner sur les Mystères de Paris d’E. Sue, publiée dans les Berliner Monatschriften en 1843 et réimprimée par les soins de J. H. Mackay dans les</w:t>
      </w:r>
      <w:r>
        <w:rPr/>
        <w:t xml:space="preserve">« M</w:t>
      </w:r>
      <w:r>
        <w:rPr>
          <w:smallCaps/>
        </w:rPr>
        <w:t xml:space="preserve">ax</w:t>
      </w:r>
      <w:r>
        <w:rPr/>
        <w:t xml:space="preserve"> S</w:t>
      </w:r>
      <w:r>
        <w:rPr>
          <w:smallCaps/>
        </w:rPr>
        <w:t xml:space="preserve">tirner’s kleinere schriften</w:t>
      </w:r>
      <w:r>
        <w:rPr/>
        <w:t xml:space="preserve"> » </w:t>
      </w:r>
      <w:r>
        <w:rPr>
          <w:i/>
        </w:rPr>
        <w:t xml:space="preserve">(Berlin, Schuster et Lœffler, 1898). N. d. Tr.</w:t>
      </w:r>
    </w:p>
  </w:footnote>
  <w:footnote w:id="97">
    <w:p>
      <w:pPr>
        <w:pStyle w:val="Notedebasdepage"/>
      </w:pPr>
      <w:r>
        <w:rPr>
          <w:rStyle w:val="Appelnotedebasdep"/>
        </w:rPr>
        <w:footnoteRef/>
        <w:t xml:space="preserve"> </w:t>
      </w:r>
      <w:r>
        <w:rPr/>
        <w:t xml:space="preserve">Feuerbach, Wesen des Christentums, p. 394.</w:t>
      </w:r>
    </w:p>
  </w:footnote>
  <w:footnote w:id="98">
    <w:p>
      <w:pPr>
        <w:pStyle w:val="Notedebasdepage"/>
      </w:pPr>
      <w:r>
        <w:rPr>
          <w:rStyle w:val="Appelnotedebasdep"/>
        </w:rPr>
        <w:footnoteRef/>
        <w:t xml:space="preserve"> </w:t>
      </w:r>
      <w:r>
        <w:rPr/>
        <w:t xml:space="preserve">Wilhelm Meister.</w:t>
      </w:r>
    </w:p>
  </w:footnote>
  <w:footnote w:id="99">
    <w:p>
      <w:pPr>
        <w:pStyle w:val="Notedebasdepage"/>
      </w:pPr>
      <w:r>
        <w:rPr>
          <w:rStyle w:val="Appelnotedebasdep"/>
        </w:rPr>
        <w:footnoteRef/>
        <w:t xml:space="preserve"> </w:t>
      </w:r>
      <w:r>
        <w:rPr/>
        <w:t xml:space="preserve">Pour me garantir contre toute poursuite criminelle, je ferai, par surcroît de précaution, expressément remarquer que je prends le mot « insurrection » dans son sens étymologique et non dans l’acception restreinte sur laquelle sont suspendues les foudres du code pénal.</w:t>
      </w:r>
    </w:p>
  </w:footnote>
  <w:footnote w:id="100">
    <w:p>
      <w:pPr>
        <w:pStyle w:val="Notedebasdepage"/>
      </w:pPr>
      <w:r>
        <w:rPr>
          <w:rStyle w:val="Appelnotedebasdep"/>
        </w:rPr>
        <w:footnoteRef/>
        <w:t xml:space="preserve"> </w:t>
      </w:r>
      <w:r>
        <w:rPr/>
        <w:t xml:space="preserve">1</w:t>
      </w:r>
      <w:r>
        <w:rPr>
          <w:vertAlign w:val="superscript"/>
        </w:rPr>
        <w:t>re</w:t>
      </w:r>
      <w:r>
        <w:rPr/>
        <w:t xml:space="preserve"> Corinth., </w:t>
      </w:r>
      <w:r>
        <w:rPr>
          <w:smallCaps/>
        </w:rPr>
        <w:t xml:space="preserve">xv</w:t>
      </w:r>
      <w:r>
        <w:rPr/>
        <w:t xml:space="preserve">, 26.</w:t>
      </w:r>
    </w:p>
  </w:footnote>
  <w:footnote w:id="101">
    <w:p>
      <w:pPr>
        <w:pStyle w:val="Notedebasdepage"/>
      </w:pPr>
      <w:r>
        <w:rPr>
          <w:rStyle w:val="Appelnotedebasdep"/>
        </w:rPr>
        <w:footnoteRef/>
        <w:t xml:space="preserve"> </w:t>
      </w:r>
      <w:r>
        <w:rPr/>
        <w:t xml:space="preserve">2</w:t>
      </w:r>
      <w:r>
        <w:rPr>
          <w:vertAlign w:val="superscript"/>
        </w:rPr>
        <w:t>e</w:t>
      </w:r>
      <w:r>
        <w:rPr/>
        <w:t xml:space="preserve"> Timoth., </w:t>
      </w:r>
      <w:r>
        <w:rPr>
          <w:smallCaps/>
        </w:rPr>
        <w:t xml:space="preserve">i</w:t>
      </w:r>
      <w:r>
        <w:rPr/>
        <w:t xml:space="preserve">, 10.</w:t>
      </w:r>
    </w:p>
  </w:footnote>
  <w:footnote w:id="102">
    <w:p>
      <w:pPr>
        <w:pStyle w:val="Notedebasdepage"/>
      </w:pPr>
      <w:r>
        <w:rPr>
          <w:rStyle w:val="Appelnotedebasdep"/>
        </w:rPr>
        <w:footnoteRef/>
        <w:t xml:space="preserve"> </w:t>
      </w:r>
      <w:r>
        <w:rPr>
          <w:i/>
        </w:rPr>
        <w:t xml:space="preserve">Der Kommunismus in der Schweiz</w:t>
      </w:r>
      <w:r>
        <w:rPr/>
        <w:t xml:space="preserve">, p. 24.</w:t>
      </w:r>
    </w:p>
  </w:footnote>
  <w:footnote w:id="103">
    <w:p>
      <w:pPr>
        <w:pStyle w:val="Notedebasdepage"/>
      </w:pPr>
      <w:r>
        <w:rPr>
          <w:rStyle w:val="Appelnotedebasdep"/>
        </w:rPr>
        <w:footnoteRef/>
        <w:t xml:space="preserve"> </w:t>
      </w:r>
      <w:r>
        <w:rPr/>
        <w:t xml:space="preserve">Ep. aux Romains, </w:t>
      </w:r>
      <w:r>
        <w:rPr>
          <w:smallCaps/>
        </w:rPr>
        <w:t xml:space="preserve">i</w:t>
      </w:r>
      <w:r>
        <w:rPr/>
        <w:t xml:space="preserve">, 25.</w:t>
      </w:r>
    </w:p>
  </w:footnote>
  <w:footnote w:id="104">
    <w:p>
      <w:pPr>
        <w:pStyle w:val="Notedebasdepage"/>
      </w:pPr>
      <w:r>
        <w:rPr>
          <w:rStyle w:val="Appelnotedebasdep"/>
        </w:rPr>
        <w:footnoteRef/>
        <w:t xml:space="preserve"> </w:t>
      </w:r>
      <w:r>
        <w:rPr>
          <w:i/>
        </w:rPr>
        <w:t xml:space="preserve">Loc. cit.,</w:t>
      </w:r>
      <w:r>
        <w:rPr/>
        <w:t xml:space="preserve"> p. 47, sqs.</w:t>
      </w:r>
    </w:p>
  </w:footnote>
  <w:footnote w:id="105">
    <w:p>
      <w:pPr>
        <w:pStyle w:val="Notedebasdepage"/>
      </w:pPr>
      <w:r>
        <w:rPr>
          <w:rStyle w:val="Appelnotedebasdep"/>
        </w:rPr>
        <w:footnoteRef/>
        <w:t xml:space="preserve"> </w:t>
      </w:r>
      <w:r>
        <w:rPr/>
        <w:t xml:space="preserve">Chambre des Pairs, 25 avril 1844.</w:t>
      </w:r>
    </w:p>
  </w:footnote>
  <w:footnote w:id="106">
    <w:p>
      <w:pPr>
        <w:pStyle w:val="Notedebasdepage"/>
      </w:pPr>
      <w:r>
        <w:rPr>
          <w:rStyle w:val="Appelnotedebasdep"/>
        </w:rPr>
        <w:footnoteRef/>
        <w:t xml:space="preserve"> </w:t>
      </w:r>
      <w:r>
        <w:rPr>
          <w:i/>
        </w:rPr>
        <w:t xml:space="preserve">Anekdota</w:t>
      </w:r>
      <w:r>
        <w:rPr/>
        <w:t xml:space="preserve">, </w:t>
      </w:r>
      <w:r>
        <w:rPr>
          <w:smallCaps/>
        </w:rPr>
        <w:t xml:space="preserve">i</w:t>
      </w:r>
      <w:r>
        <w:rPr/>
        <w:t xml:space="preserve">, 120.</w:t>
      </w:r>
    </w:p>
  </w:footnote>
  <w:footnote w:id="107">
    <w:p>
      <w:pPr>
        <w:pStyle w:val="Notedebasdepage"/>
      </w:pPr>
      <w:r>
        <w:rPr>
          <w:rStyle w:val="Appelnotedebasdep"/>
        </w:rPr>
        <w:footnoteRef/>
        <w:t xml:space="preserve"> </w:t>
      </w:r>
      <w:r>
        <w:rPr>
          <w:i/>
        </w:rPr>
        <w:t xml:space="preserve">Anekdota</w:t>
      </w:r>
      <w:r>
        <w:rPr/>
        <w:t xml:space="preserve">, </w:t>
      </w:r>
      <w:r>
        <w:rPr>
          <w:smallCaps/>
        </w:rPr>
        <w:t xml:space="preserve">i</w:t>
      </w:r>
      <w:r>
        <w:rPr/>
        <w:t xml:space="preserve">, 127.</w:t>
      </w:r>
    </w:p>
  </w:footnote>
  <w:footnote w:id="108">
    <w:p>
      <w:pPr>
        <w:pStyle w:val="Notedebasdepage"/>
      </w:pPr>
      <w:r>
        <w:rPr>
          <w:rStyle w:val="Appelnotedebasdep"/>
        </w:rPr>
        <w:footnoteRef/>
        <w:t xml:space="preserve"> </w:t>
      </w:r>
      <w:r>
        <w:rPr/>
        <w:t xml:space="preserve">1</w:t>
      </w:r>
      <w:r>
        <w:rPr>
          <w:vertAlign w:val="superscript"/>
        </w:rPr>
        <w:t>re</w:t>
      </w:r>
      <w:r>
        <w:rPr/>
        <w:t xml:space="preserve"> aux Thess. </w:t>
      </w:r>
      <w:r>
        <w:rPr>
          <w:smallCaps/>
        </w:rPr>
        <w:t xml:space="preserve">v</w:t>
      </w:r>
      <w:r>
        <w:rPr/>
        <w:t xml:space="preserve">, 21.</w:t>
      </w:r>
    </w:p>
  </w:footnote>
  <w:footnote w:id="109">
    <w:p>
      <w:pPr>
        <w:pStyle w:val="Notedebasdepage"/>
      </w:pPr>
      <w:r>
        <w:rPr>
          <w:rStyle w:val="Appelnotedebasdep"/>
        </w:rPr>
        <w:footnoteRef/>
        <w:t xml:space="preserve"> </w:t>
      </w:r>
      <w:r>
        <w:rPr>
          <w:i/>
        </w:rPr>
        <w:t xml:space="preserve">En français dans te texte. N. d. Tr.</w:t>
      </w:r>
    </w:p>
  </w:footnote>
  <w:footnote w:id="110">
    <w:p>
      <w:pPr>
        <w:pStyle w:val="Notedebasdepage"/>
      </w:pPr>
      <w:r>
        <w:rPr>
          <w:rStyle w:val="Appelnotedebasdep"/>
        </w:rPr>
        <w:footnoteRef/>
        <w:t xml:space="preserve"> </w:t>
      </w:r>
      <w:r>
        <w:rPr>
          <w:i/>
        </w:rPr>
        <w:t xml:space="preserve">La parenté étymologique qui unit en français les mots Société et Association et suppose l’une résultat de l’autre n’existe pas en allemand : « Verein » (association) exprime l’idée d’union, de coopération volontaire et active, tandis que « Gesellschaft » (société) implique par sa racine « Saal » (salle) réunion passive ou, comme dirait Stirner, parcage en un même endroit ; voyez, pour l’anatomie de la société, mot de chose, p. 261. N. D. Tr.</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books.google.com/books?id=5J8DAAAAMAAJ" TargetMode="External" Type="http://schemas.openxmlformats.org/officeDocument/2006/relationships/hyperlink" Id="ref1"/>
  <Relationship Target="http://efele.net/ebooks/livres/000405"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