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Dans l’</w:t>
      </w:r>
      <w:r>
        <w:rPr>
          <w:i/>
        </w:rPr>
        <w:t xml:space="preserve">Humanité</w:t>
      </w:r>
      <w:r>
        <w:rPr/>
        <w:t xml:space="preserve"> du 30 octobre, Vaillant-Couturier montre très bien qu’exiger du gouvernement le désarmement des fascistes est absurde, qu’un mouvement des masses seul peut les désarmer. Puisqu’il s’agit, évidemment, d’un désarmement non pas « idéologique », mais physique, nous voulons espérer que l’</w:t>
      </w:r>
      <w:r>
        <w:rPr>
          <w:i/>
        </w:rPr>
        <w:t xml:space="preserve">Humanité </w:t>
      </w:r>
      <w:r>
        <w:rPr/>
        <w:t xml:space="preserve">reconnaîtra maintenant la nécessité de la milice ouvrière. Nous sommes prêts à saluer sincèrement tout pas des stalinistes dans la voie juste.</w:t>
      </w:r>
    </w:p>
    <w:p>
      <w:pPr>
        <w:pStyle w:val="Notedebasdepage"/>
      </w:pPr>
      <w:r>
        <w:rPr/>
        <w:t xml:space="preserve">...Mais, hélas ! dès le 1</w:t>
      </w:r>
      <w:r>
        <w:rPr>
          <w:vertAlign w:val="superscript"/>
        </w:rPr>
        <w:t>er</w:t>
      </w:r>
      <w:r>
        <w:rPr/>
        <w:t xml:space="preserve"> novembre, Vaillant-Couturier fait un pas décisif en arrière : le désarmement des fascistes ne se fera pas par le Front unique, mais par la police de Doumergue, « sous la pression et le contrôle » du Front unique. Fameuse idée : sans révolution, par la seule pression « idéologique », changer la police en organe exécutif du prolétariat ! A quoi bon conquérir le pouvoir quand les mêmes résultats peuvent être obtenus par la voie pacifique ? « Sous la pression et le contrôle » du Front unique, Germain-Marlin va nationaliser les banques et Marchandeau mettre à la Santé les conspirateurs réactionnaires, en commençant par son collègue Tardieu. L’idée de la « pression et du contrôle », au lieu de la lutte révolutionnaire, n’a pas été inventée par Vaillant-Couturier, il l’a empruntée à Otto Bauer, à Hilferding et au menchévik russe Dan. Le but de cette idée est celui-ci : détourner les ouvriers de la lutte révolutionnaire. En fait, il est cent fois plus facile d’écraser les fascistes de ses propres mains que par les mains d’une police hostile. Et quand le Front unique deviendra suffisamment puissant pour « contrôler » l’appareil de l’Etat, — par conséquent après la prise du pouvoir, et nullement avant, — il chassera simplement la police bourgeoise et mettra à sa place la milice ouvrière.</w:t>
      </w:r>
    </w:p>
  </w:footnote>
  <w:footnote w:id="2">
    <w:p>
      <w:pPr>
        <w:pStyle w:val="Notedebasdepage"/>
      </w:pPr>
      <w:r>
        <w:rPr>
          <w:rStyle w:val="Appelnotedebasdep"/>
        </w:rPr>
        <w:footnoteRef/>
        <w:t xml:space="preserve"> </w:t>
      </w:r>
      <w:r>
        <w:rPr/>
        <w:t xml:space="preserve">Voir, en particulier : Léon Trotsky : </w:t>
      </w:r>
      <w:r>
        <w:rPr>
          <w:i/>
        </w:rPr>
        <w:t xml:space="preserve">L’internationale Communiste après Lénine,</w:t>
      </w:r>
      <w:r>
        <w:rPr/>
        <w:t xml:space="preserve"> Rieder éditeur, 1930 ;</w:t>
      </w:r>
    </w:p>
    <w:p>
      <w:pPr>
        <w:pStyle w:val="Notedebasdepage"/>
      </w:pPr>
      <w:r>
        <w:rPr>
          <w:i/>
        </w:rPr>
        <w:t xml:space="preserve">La crise autrichienne</w:t>
      </w:r>
      <w:r>
        <w:rPr/>
        <w:t xml:space="preserve"> et </w:t>
      </w:r>
      <w:r>
        <w:rPr>
          <w:i/>
        </w:rPr>
        <w:t xml:space="preserve">le communisme</w:t>
      </w:r>
      <w:r>
        <w:rPr/>
        <w:t xml:space="preserve">, dans </w:t>
      </w:r>
      <w:r>
        <w:rPr>
          <w:i/>
        </w:rPr>
        <w:t xml:space="preserve">Les problèmes de la Révolution allemande</w:t>
      </w:r>
      <w:r>
        <w:rPr/>
        <w:t xml:space="preserve">, édité par la </w:t>
      </w:r>
      <w:r>
        <w:rPr>
          <w:i/>
        </w:rPr>
        <w:t xml:space="preserve">Vérité,</w:t>
      </w:r>
      <w:r>
        <w:rPr/>
        <w:t xml:space="preserve"> 1931.</w:t>
      </w:r>
    </w:p>
    <w:p>
      <w:pPr>
        <w:pStyle w:val="Notedebasdepage"/>
      </w:pPr>
      <w:r>
        <w:rPr>
          <w:i/>
        </w:rPr>
        <w:t xml:space="preserve">La Révolution Espagnole et les tâches des Communistes,</w:t>
      </w:r>
      <w:r>
        <w:rPr/>
        <w:t xml:space="preserve"> édité par la </w:t>
      </w:r>
      <w:r>
        <w:rPr>
          <w:i/>
        </w:rPr>
        <w:t xml:space="preserve">Vérité,</w:t>
      </w:r>
      <w:r>
        <w:rPr/>
        <w:t xml:space="preserve"> 1931 ;</w:t>
      </w:r>
    </w:p>
    <w:p>
      <w:pPr>
        <w:pStyle w:val="Notedebasdepage"/>
      </w:pPr>
      <w:r>
        <w:rPr>
          <w:i/>
        </w:rPr>
        <w:t xml:space="preserve">La Révolution Espagnole et les dangers qui la menacent,</w:t>
      </w:r>
      <w:r>
        <w:rPr/>
        <w:t xml:space="preserve"> édité par la </w:t>
      </w:r>
      <w:r>
        <w:rPr>
          <w:i/>
        </w:rPr>
        <w:t xml:space="preserve">Vérité</w:t>
      </w:r>
      <w:r>
        <w:rPr/>
        <w:t xml:space="preserve">, 1931 ;</w:t>
      </w:r>
    </w:p>
    <w:p>
      <w:pPr>
        <w:pStyle w:val="Notedebasdepage"/>
      </w:pPr>
      <w:r>
        <w:rPr/>
        <w:t xml:space="preserve">(Ces deux derniers documents sont reproduits dans </w:t>
      </w:r>
      <w:r>
        <w:rPr>
          <w:i/>
        </w:rPr>
        <w:t xml:space="preserve">La Révolution Permanente,</w:t>
      </w:r>
      <w:r>
        <w:rPr/>
        <w:t xml:space="preserve"> Rieder éditeur, qui contient aussi des </w:t>
      </w:r>
      <w:r>
        <w:rPr>
          <w:i/>
        </w:rPr>
        <w:t xml:space="preserve">Lettres </w:t>
      </w:r>
      <w:r>
        <w:rPr/>
        <w:t xml:space="preserve">sur la crise espagnole.)</w:t>
      </w:r>
    </w:p>
    <w:p>
      <w:pPr>
        <w:pStyle w:val="Notedebasdepage"/>
      </w:pPr>
      <w:r>
        <w:rPr/>
        <w:t xml:space="preserve">On lira aussi avec fruit, quoique concernant plus particulièrement l’Allemagne, </w:t>
      </w:r>
      <w:r>
        <w:rPr>
          <w:i/>
        </w:rPr>
        <w:t xml:space="preserve">Et Maintenant ?</w:t>
      </w:r>
      <w:r>
        <w:rPr/>
        <w:t xml:space="preserve"> et </w:t>
      </w:r>
      <w:r>
        <w:rPr>
          <w:i/>
        </w:rPr>
        <w:t xml:space="preserve">La seule voie,</w:t>
      </w:r>
      <w:r>
        <w:rPr/>
        <w:t xml:space="preserve"> édités par la </w:t>
      </w:r>
      <w:r>
        <w:rPr>
          <w:i/>
        </w:rPr>
        <w:t xml:space="preserve">Vérité,</w:t>
      </w:r>
      <w:r>
        <w:rPr/>
        <w:t xml:space="preserve"> 1932.</w:t>
      </w:r>
    </w:p>
  </w:footnote>
  <w:footnote w:id="3">
    <w:p>
      <w:pPr>
        <w:pStyle w:val="Notedebasdepage"/>
      </w:pPr>
      <w:r>
        <w:rPr>
          <w:rStyle w:val="Appelnotedebasdep"/>
        </w:rPr>
        <w:footnoteRef/>
        <w:t xml:space="preserve"> </w:t>
      </w:r>
      <w:r>
        <w:rPr/>
        <w:t xml:space="preserve">Sur le contenu du programme lui-même nous ne nous arrêtons pas ici et renvoyons le lecteur au </w:t>
      </w:r>
      <w:r>
        <w:rPr>
          <w:i/>
        </w:rPr>
        <w:t xml:space="preserve">Programme d’action</w:t>
      </w:r>
      <w:r>
        <w:rPr/>
        <w:t xml:space="preserve"> édité par la Ligue communiste en 1934, qui représente le projet d’un tel programme de transition.</w:t>
      </w:r>
    </w:p>
  </w:footnote>
  <w:footnote w:id="4">
    <w:p>
      <w:pPr>
        <w:pStyle w:val="Notedebasdepage"/>
      </w:pPr>
      <w:r>
        <w:rPr>
          <w:rStyle w:val="Appelnotedebasdep"/>
        </w:rPr>
        <w:footnoteRef/>
        <w:t xml:space="preserve"> </w:t>
      </w:r>
      <w:r>
        <w:rPr/>
        <w:t xml:space="preserve">Dans l’</w:t>
      </w:r>
      <w:r>
        <w:rPr>
          <w:i/>
        </w:rPr>
        <w:t xml:space="preserve">Ecole émancipée</w:t>
      </w:r>
      <w:r>
        <w:rPr/>
        <w:t xml:space="preserve"> le camarade G. Serret publie un intéressant questionnaire au sujet de la situation économique des différentes couches de la paysannerie et de leurs tendances politiques. Les instituteurs pourraient devenir des agents irremplaçables du Front Unique au village et jouer, dans la période qui vient, un rôle historique. Mais pour cela ils doivent sortir de leur coquille. Ce n’est vraiment pas le moment de se livrer à de petites expériences dans de petits laboratoires. </w:t>
      </w:r>
      <w:r>
        <w:rPr>
          <w:i/>
        </w:rPr>
        <w:t xml:space="preserve">Les instituteurs révolutionnaires doivent entrer dans le Parti socialiste pour renforcer son aile révolutionnaire et le lier aux masses paysannes.</w:t>
      </w:r>
      <w:r>
        <w:rPr/>
        <w:t xml:space="preserve"> Il serait criminel de perdre du temps !</w:t>
      </w:r>
    </w:p>
    <w:p>
      <w:pPr>
        <w:pStyle w:val="Notedebasdepage"/>
      </w:pPr>
      <w:r>
        <w:rPr/>
        <w:t xml:space="preserve">(Ceci fut écrit fin 1934. Depuis, les bolchéviks-léninistes ont été chassés du Parti socialiste, mais les instituteurs ne sont pas sortis de leur coquille... N. du T.) .</w:t>
      </w:r>
    </w:p>
  </w:footnote>
  <w:footnote w:id="5">
    <w:p>
      <w:pPr>
        <w:pStyle w:val="Notedebasdepage"/>
      </w:pPr>
      <w:r>
        <w:rPr>
          <w:rStyle w:val="Appelnotedebasdep"/>
        </w:rPr>
        <w:footnoteRef/>
        <w:t xml:space="preserve"> </w:t>
      </w:r>
      <w:r>
        <w:rPr/>
        <w:t xml:space="preserve">Il est extrêmement caractéristique pour </w:t>
      </w:r>
      <w:r>
        <w:rPr>
          <w:i/>
        </w:rPr>
        <w:t xml:space="preserve">la bureaucratie ouvrière</w:t>
      </w:r>
      <w:r>
        <w:rPr/>
        <w:t xml:space="preserve"> petite-bourgeoise effrayée, surtout par les stalinistes, qu’elle se soit alliée aux radicaux « pour lutter contre le fascisme », après que les radicaux eurent révélé leur complète incapacité de lutter contre le fascisme. Le cartel électoral avec les radicaux, qui était un crime du point de vue des intérêts historiques du prolétariat, avait au moins, dans les cadres restreints du parlementarisme son sens pratique. </w:t>
      </w:r>
      <w:r>
        <w:rPr>
          <w:i/>
        </w:rPr>
        <w:t xml:space="preserve">L’alliance extra-parlementaire avec les radicaux contre le fascisme est non seulement un crime, mais encore une idiotie.</w:t>
      </w:r>
    </w:p>
  </w:footnote>
  <w:footnote w:id="6">
    <w:p>
      <w:pPr>
        <w:pStyle w:val="Notedebasdepage"/>
      </w:pPr>
      <w:r>
        <w:rPr>
          <w:rStyle w:val="Appelnotedebasdep"/>
        </w:rPr>
        <w:footnoteRef/>
        <w:t xml:space="preserve"> </w:t>
      </w:r>
      <w:r>
        <w:rPr/>
        <w:t xml:space="preserve">Le marxisme n’ignore nullement — notons-le en passant — ces éléments comme la tradition et le tempérament national. La direction fondamentale du développement est déterminée, évidemment, par la marche de la lutte des classes. Mais les </w:t>
      </w:r>
      <w:r>
        <w:rPr>
          <w:i/>
        </w:rPr>
        <w:t xml:space="preserve">formes</w:t>
      </w:r>
      <w:r>
        <w:rPr/>
        <w:t xml:space="preserve"> du mouvement, son </w:t>
      </w:r>
      <w:r>
        <w:rPr>
          <w:i/>
        </w:rPr>
        <w:t xml:space="preserve">rythme</w:t>
      </w:r>
      <w:r>
        <w:rPr/>
        <w:t xml:space="preserve">, etc., peuvent varier beaucoup sous l’influence du tempérament et des traditions nationales, qui, à leur tour, se sont formées dans le passé sous l’influence de la marche de la lutte des classes.</w:t>
      </w:r>
    </w:p>
  </w:footnote>
  <w:footnote w:id="7">
    <w:p>
      <w:pPr>
        <w:pStyle w:val="Notedebasdepage"/>
      </w:pPr>
      <w:r>
        <w:rPr>
          <w:rStyle w:val="Appelnotedebasdep"/>
        </w:rPr>
        <w:footnoteRef/>
        <w:t xml:space="preserve"> </w:t>
      </w:r>
      <w:r>
        <w:rPr/>
        <w:t xml:space="preserve">Le programme de l’Internationale communiste fut écrit par Boukharine, qui bientôt après fut officiellement déclaré « libéral bourgeois ». Dans son « Testament », Lénine jugea nécessaire de prévenir que Boukharine ne possédait pas le marxisme, car sa pensée était pénétrée de </w:t>
      </w:r>
      <w:r>
        <w:rPr>
          <w:i/>
        </w:rPr>
        <w:t xml:space="preserve">scolastique</w:t>
      </w:r>
      <w:r>
        <w:rPr/>
        <w:t xml:space="preserve">. J’ai donné une critique du programme éclectique de l’Internationale communiste dans mon livre : </w:t>
      </w:r>
      <w:r>
        <w:rPr>
          <w:i/>
        </w:rPr>
        <w:t xml:space="preserve">L’Internationale communiste après Lénine</w:t>
      </w:r>
      <w:r>
        <w:rPr/>
        <w:t xml:space="preserve"> (Rieder éd., 1931). Cette critique est restée jusqu’à maintenant sans réponse.</w:t>
      </w:r>
    </w:p>
  </w:footnote>
  <w:footnote w:id="8">
    <w:p>
      <w:pPr>
        <w:pStyle w:val="Notedebasdepage"/>
      </w:pPr>
      <w:r>
        <w:rPr>
          <w:rStyle w:val="Appelnotedebasdep"/>
        </w:rPr>
        <w:footnoteRef/>
        <w:t xml:space="preserve"> </w:t>
      </w:r>
      <w:r>
        <w:rPr/>
        <w:t xml:space="preserve">Cette brochure : </w:t>
      </w:r>
      <w:r>
        <w:rPr>
          <w:i/>
        </w:rPr>
        <w:t xml:space="preserve">Qui dirige aujourd’hui l’Internationale communiste ?</w:t>
      </w:r>
      <w:r>
        <w:rPr/>
        <w:t xml:space="preserve"> est reproduite dans </w:t>
      </w:r>
      <w:r>
        <w:rPr>
          <w:i/>
        </w:rPr>
        <w:t xml:space="preserve">L’internationale communiste après Lénine</w:t>
      </w:r>
      <w:r>
        <w:rPr/>
        <w:t xml:space="preserve">.</w:t>
      </w:r>
    </w:p>
  </w:footnote>
  <w:footnote w:id="9">
    <w:p>
      <w:pPr>
        <w:pStyle w:val="Notedebasdepage"/>
      </w:pPr>
      <w:r>
        <w:rPr>
          <w:rStyle w:val="Appelnotedebasdep"/>
        </w:rPr>
        <w:footnoteRef/>
        <w:t xml:space="preserve"> </w:t>
      </w:r>
      <w:r>
        <w:rPr/>
        <w:t xml:space="preserve">Cette étude a été écrite en guise de préface à la nouvelle édition de </w:t>
      </w:r>
      <w:r>
        <w:rPr>
          <w:i/>
        </w:rPr>
        <w:t xml:space="preserve">Terrorisme et communisme,</w:t>
      </w:r>
      <w:r>
        <w:rPr/>
        <w:t xml:space="preserve"> parue aux Editions de la Nouvelle Revue critique, sous le titre de </w:t>
      </w:r>
      <w:r>
        <w:rPr>
          <w:i/>
        </w:rPr>
        <w:t xml:space="preserve">Défense du Terrorisme</w:t>
      </w:r>
      <w:r>
        <w:rPr/>
        <w:t xml:space="preserve">.</w:t>
      </w:r>
    </w:p>
  </w:footnote>
  <w:footnote w:id="10">
    <w:p>
      <w:pPr>
        <w:pStyle w:val="Notedebasdepage"/>
      </w:pPr>
      <w:r>
        <w:rPr>
          <w:rStyle w:val="Appelnotedebasdep"/>
        </w:rPr>
        <w:footnoteRef/>
        <w:t xml:space="preserve"> </w:t>
      </w:r>
      <w:r>
        <w:rPr/>
        <w:t xml:space="preserve">L’élection des députés à la Douma se faisait par des collèges électoraux désignés au deuxième et au troisième degré. (N. d. T.)</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5813514w" TargetMode="External" Type="http://schemas.openxmlformats.org/officeDocument/2006/relationships/hyperlink" Id="ref1"/>
  <Relationship Target="http://efele.net/ebooks/livres/000293"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