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 communistes les plus fanatiques devraient ouvrir les yeux devant l'appel lancé le 5 mars par l'Internationale Communiste. Depuis des mois et des mois, les oppositionnels sont injuriés parce qu'ils proclament l'urgence de propositions de front unique au sommet. Au début de février, le parti communiste allemand repousse fièrement, sans même offrir de négocier, le « pacte de non-agression » offert par la social-démocratie. Le 19 février, l'Internationale Socialiste propose le front unique sans conditions, et n'obtient d'autre réponse que le discours de Thorez au Comité Central contre tout front unique au sommet, contre toute suspension des attaques à l'égard de la social-démocratie. Survient l'incendie du Reichstag, l'arrestation de milliers de militants, la terreur qui rend illégaux aussi bien social-démocrates que communistes, qui pousse les chefs social-démocrates, affolés, dans les bras de Hitler (cf. la lettre de Well), qui rend tout travail de propagande et d'organisation presque impossible. Et alors, alors seulement, l'Internationale Communiste, le 5 mars, accepte, non seulement la proposition du 19 février, mais même le « pacte de non-agression » ! Ainsi aucun principe ne s'opposait à cette tactique ? Mais alors qu'est-ce qui empêchait de l'adopter dès février, ou même dès janvier, ou même auparavant, quand le prolétariat allemand pouvait encore prendre l'offensive et lutter avec des chances sérieuses de succès ? Ce retard n'est-il pas une trahison ?</w:t>
      </w:r>
    </w:p>
  </w:footnote>
  <w:footnote w:id="2">
    <w:p>
      <w:pPr>
        <w:pStyle w:val="Notedebasdepage"/>
      </w:pPr>
      <w:r>
        <w:rPr>
          <w:rStyle w:val="Appelnotedebasdep"/>
        </w:rPr>
        <w:footnoteRef/>
        <w:t xml:space="preserve"> </w:t>
      </w:r>
      <w:r>
        <w:rPr/>
        <w:t xml:space="preserve"> Ce texte constitue peut-être une nouvelle rédaction du début des </w:t>
      </w:r>
      <w:r>
        <w:rPr>
          <w:i/>
        </w:rPr>
        <w:t xml:space="preserve">Réflexions sur les causes de la liberté et de l'oppression sociale.</w:t>
      </w:r>
    </w:p>
  </w:footnote>
  <w:footnote w:id="3">
    <w:p>
      <w:pPr>
        <w:pStyle w:val="Notedebasdepage"/>
      </w:pPr>
      <w:r>
        <w:rPr>
          <w:rStyle w:val="Appelnotedebasdep"/>
        </w:rPr>
        <w:footnoteRef/>
        <w:t xml:space="preserve"> </w:t>
      </w:r>
      <w:r>
        <w:rPr/>
        <w:t xml:space="preserve">On trouvera ci-après des ébauches, des plans et des variantes qui se rapportent à certains textes de ce volume. Pour les ébauches et les variantes, nous indiquons les pages auxquelles elles correspondent approximativement.</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