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Pensées sans ordre concernant l'amour de Dieu</w:t>
      </w:r>
      <w:r>
        <w:rPr/>
        <w:t xml:space="preserve">, éd. Gallimard.</w:t>
      </w:r>
    </w:p>
  </w:footnote>
  <w:footnote w:id="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 La question qui la tourmentait était celle de son départ pour l'Amérique qui l'éloignait des dangers de l'occupation imminente de la zone libre. Pour elle, ce n'était pas une question de « danger », mais de « service ». À New York, elle « dépérira de chagrin » dans son impatience de passer à Londres. Plus profondément, elle aspire à cette mission périlleuse (voire de sabotage) qui la fera tomber dans le malheur et la mort. Elle y voit plus qu'un trait de son caractère : elle y sent une vocation. « Je suis hors de la vérité ; rien d'humain ne peut m'y transporter ; et j'ai la certitude intérieure que Dieu ne m'y transportera pas d'une autre manière que celle-là. Une certitude de la même espèce que celle qui est à la racine d'une vocation. « (</w:t>
      </w:r>
      <w:r>
        <w:rPr>
          <w:i/>
        </w:rPr>
        <w:t xml:space="preserve">Écrits de Londres</w:t>
      </w:r>
      <w:r>
        <w:rPr/>
        <w:t xml:space="preserve">, lettre à Maurice Schumann., Ce départ était pour elle une question de conscience où elle pressentait sa vie et sa mort engagées, mort que, par-dessus tout, elle ne voulait pas manquer.</w:t>
      </w:r>
    </w:p>
  </w:footnote>
  <w:footnote w:id="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Voici le texte de ce poème dans une traduction qu'on a bien voulu me faire :</w:t>
      </w:r>
    </w:p>
    <w:p>
      <w:pPr>
        <w:pStyle w:val="Notedebasdepage"/>
      </w:pPr>
      <w:r>
        <w:rPr/>
        <w:t xml:space="preserve">AMOUR</w:t>
      </w:r>
    </w:p>
    <w:p>
      <w:pPr>
        <w:pStyle w:val="Notedebasdepage"/>
      </w:pPr>
      <w:r>
        <w:rPr/>
        <w:t xml:space="preserve">L'Amour m'accueillit ; pourtant mon âme recula</w:t>
      </w:r>
    </w:p>
    <w:p>
      <w:pPr>
        <w:pStyle w:val="Notedebasdepage"/>
      </w:pPr>
      <w:r>
        <w:rPr/>
        <w:t xml:space="preserve">Coupable de poussière et de péché.</w:t>
      </w:r>
    </w:p>
    <w:p>
      <w:pPr>
        <w:pStyle w:val="Notedebasdepage"/>
      </w:pPr>
      <w:r>
        <w:rPr/>
        <w:t xml:space="preserve">Mais l'Amour clairvoyant, me voyant hésiter</w:t>
      </w:r>
    </w:p>
    <w:p>
      <w:pPr>
        <w:pStyle w:val="Notedebasdepage"/>
      </w:pPr>
      <w:r>
        <w:rPr/>
        <w:t xml:space="preserve">Dès ma première entrée,</w:t>
      </w:r>
    </w:p>
    <w:p>
      <w:pPr>
        <w:pStyle w:val="Notedebasdepage"/>
      </w:pPr>
      <w:r>
        <w:rPr/>
        <w:t xml:space="preserve">Se rapprocha de moi, demandant doucement</w:t>
      </w:r>
    </w:p>
    <w:p>
      <w:pPr>
        <w:pStyle w:val="Notedebasdepage"/>
      </w:pPr>
      <w:r>
        <w:rPr/>
        <w:t xml:space="preserve">S'il me manquait quelque chose.</w:t>
      </w:r>
    </w:p>
    <w:p>
      <w:pPr>
        <w:pStyle w:val="Notedebasdepage"/>
      </w:pPr>
      <w:r>
        <w:rPr/>
        <w:t xml:space="preserve">« Un invité, répondis-je, digne d'être ici. »</w:t>
      </w:r>
    </w:p>
    <w:p>
      <w:pPr>
        <w:pStyle w:val="Notedebasdepage"/>
      </w:pPr>
      <w:r>
        <w:rPr/>
        <w:t xml:space="preserve">L'Amour dit : « Tu seras lui. »</w:t>
      </w:r>
    </w:p>
    <w:p>
      <w:pPr>
        <w:pStyle w:val="Notedebasdepage"/>
      </w:pPr>
      <w:r>
        <w:rPr/>
        <w:t xml:space="preserve">Moi, le méchant, l'ingrat ? Ah ! mon aimé,</w:t>
      </w:r>
    </w:p>
    <w:p>
      <w:pPr>
        <w:pStyle w:val="Notedebasdepage"/>
      </w:pPr>
      <w:r>
        <w:rPr/>
        <w:t xml:space="preserve">Je ne puis te regarder.</w:t>
      </w:r>
    </w:p>
    <w:p>
      <w:pPr>
        <w:pStyle w:val="Notedebasdepage"/>
      </w:pPr>
      <w:r>
        <w:rPr/>
        <w:t xml:space="preserve">L'Amour prit ma main et répondit en souriant</w:t>
      </w:r>
    </w:p>
    <w:p>
      <w:pPr>
        <w:pStyle w:val="Notedebasdepage"/>
      </w:pPr>
      <w:r>
        <w:rPr/>
        <w:t xml:space="preserve">« Qui a fait ces yeux sinon moi ?</w:t>
      </w:r>
    </w:p>
    <w:p>
      <w:pPr>
        <w:pStyle w:val="Notedebasdepage"/>
      </w:pPr>
      <w:r>
        <w:rPr/>
        <w:t xml:space="preserve">— C'est vrai, Seigneur, mais je les ai souillés ; que ma honte aille où elle mérite.</w:t>
      </w:r>
    </w:p>
    <w:p>
      <w:pPr>
        <w:pStyle w:val="Notedebasdepage"/>
      </w:pPr>
      <w:r>
        <w:rPr/>
        <w:t xml:space="preserve">— Et ne sais-tu pas, dit l'Amour, qui en a pris sur lui le blâme ?</w:t>
      </w:r>
    </w:p>
    <w:p>
      <w:pPr>
        <w:pStyle w:val="Notedebasdepage"/>
      </w:pPr>
      <w:r>
        <w:rPr/>
        <w:t xml:space="preserve">— Mon aimé, alors je servirai.</w:t>
      </w:r>
    </w:p>
    <w:p>
      <w:pPr>
        <w:pStyle w:val="Notedebasdepage"/>
      </w:pPr>
      <w:r>
        <w:rPr/>
        <w:t xml:space="preserve">— Il faut t'asseoir, dit l'Amour, et goûter à mes mets. »</w:t>
      </w:r>
    </w:p>
    <w:p>
      <w:pPr>
        <w:pStyle w:val="Notedebasdepage"/>
      </w:pPr>
      <w:r>
        <w:rPr/>
        <w:t xml:space="preserve">Ainsi je m'assis et je mangeai.</w:t>
      </w:r>
    </w:p>
  </w:footnote>
  <w:footnote w:id="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 [Texte disponible dans </w:t>
      </w:r>
      <w:hyperlink r:id="ref1">
        <w:r>
          <w:rPr>
            <w:rStyle w:val="LienInternet"/>
          </w:rPr>
          <w:t xml:space="preserve">Les Classiques des sciences sociales</w:t>
        </w:r>
      </w:hyperlink>
      <w:r>
        <w:rPr/>
        <w:t xml:space="preserve">. JMT.]</w:t>
      </w:r>
    </w:p>
  </w:footnote>
  <w:footnote w:id="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 Pour Simone, l'orthodoxie est tout enseignement imposé du dehors avant de pouvoir être assimilé : « Dire pour commencer : « la terre tourne autour du soleil » c'est la notion inquisitoriale de l'orthodoxie comme ersatz de la vérité. » (</w:t>
      </w:r>
      <w:r>
        <w:rPr>
          <w:i/>
        </w:rPr>
        <w:t xml:space="preserve">Écrits de Londres</w:t>
      </w:r>
      <w:r>
        <w:rPr/>
        <w:t xml:space="preserve">.) Pour un chrétien, est « orthodoxe » ce qui est conforme à l'enseignement du Christ.</w:t>
      </w:r>
    </w:p>
  </w:footnote>
  <w:footnote w:id="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 Simone Weil dans « la profession de foi » de son étude pour une déclaration des obligations envers l'être humain </w:t>
      </w:r>
      <w:r>
        <w:rPr>
          <w:i/>
        </w:rPr>
        <w:t xml:space="preserve">(Écrits de Londres)</w:t>
      </w:r>
      <w:r>
        <w:rPr/>
        <w:t xml:space="preserve"> écrira à propos du consentement : (« À quiconque, en fait, consent à orienter son attention et son amour hors du monde, vers la réalité située au-delà de toutes les facultés humaines, il est donné d'y réussir. En ce cas, tôt ou tard, il descend sur lui du bien qui, à travers lui, rayonne autour de lui. » Le langage chrétien parle « d'adhésion par amour » (Cf. saint Jean, Ch. XIV, 23 et XV, 10).</w:t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<Relationship Target="http://dx.doi.org/doi:10.1522/24900867" TargetMode="External" Type="http://schemas.openxmlformats.org/officeDocument/2006/relationships/hyperlink" Id="ref1"/></Relationships>
</file>