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La 2</w:t>
      </w:r>
      <w:r>
        <w:rPr>
          <w:vertAlign w:val="superscript"/>
        </w:rPr>
        <w:t>e</w:t>
      </w:r>
      <w:r>
        <w:rPr/>
        <w:t xml:space="preserve"> partie de cette étude : </w:t>
      </w:r>
      <w:r>
        <w:rPr>
          <w:i/>
        </w:rPr>
        <w:t xml:space="preserve">Hitler et la politique extérieure de la Rome</w:t>
      </w:r>
      <w:r>
        <w:rPr/>
        <w:t xml:space="preserve"> antique, a été publiée dans les </w:t>
      </w:r>
      <w:r>
        <w:rPr>
          <w:i/>
        </w:rPr>
        <w:t xml:space="preserve">Nouveaux Cahiers</w:t>
      </w:r>
      <w:r>
        <w:rPr/>
        <w:t xml:space="preserve"> (n° 53, 1</w:t>
      </w:r>
      <w:r>
        <w:rPr>
          <w:vertAlign w:val="superscript"/>
        </w:rPr>
        <w:t>er</w:t>
      </w:r>
      <w:r>
        <w:rPr/>
        <w:t xml:space="preserve"> janvier 1940). La 3</w:t>
      </w:r>
      <w:r>
        <w:rPr>
          <w:vertAlign w:val="superscript"/>
        </w:rPr>
        <w:t>e</w:t>
      </w:r>
      <w:r>
        <w:rPr/>
        <w:t xml:space="preserve"> déjà imprimée sur épreuves, fut refusée par la censure. (Note de l'éditeur.)</w:t>
      </w:r>
    </w:p>
  </w:footnote>
  <w:footnote w:id="2">
    <w:p>
      <w:pPr>
        <w:pStyle w:val="Notedebasdepage"/>
      </w:pPr>
      <w:r>
        <w:rPr>
          <w:rStyle w:val="Appelnotedebasdep"/>
        </w:rPr>
        <w:footnoteRef/>
        <w:t xml:space="preserve"> </w:t>
      </w:r>
      <w:r>
        <w:rPr/>
        <w:t xml:space="preserve">Voici quelques-uns des vers de La Fontaine :</w:t>
      </w:r>
    </w:p>
    <w:p>
      <w:pPr>
        <w:pStyle w:val="Notedebasdepage"/>
      </w:pPr>
      <w:r>
        <w:rPr/>
        <w:t xml:space="preserve">À vous, marchands de fromage,</w:t>
      </w:r>
    </w:p>
    <w:p>
      <w:pPr>
        <w:pStyle w:val="Notedebasdepage"/>
      </w:pPr>
      <w:r>
        <w:rPr/>
        <w:t xml:space="preserve">Salut, révérence, hommage.</w:t>
      </w:r>
    </w:p>
    <w:p>
      <w:pPr>
        <w:pStyle w:val="Notedebasdepage"/>
      </w:pPr>
      <w:r>
        <w:rPr/>
        <w:t xml:space="preserve">………………………………..</w:t>
      </w:r>
    </w:p>
    <w:p>
      <w:pPr>
        <w:pStyle w:val="Notedebasdepage"/>
      </w:pPr>
      <w:r>
        <w:rPr/>
        <w:t xml:space="preserve">Votre lâche paysan…</w:t>
      </w:r>
    </w:p>
    <w:p>
      <w:pPr>
        <w:pStyle w:val="Notedebasdepage"/>
      </w:pPr>
      <w:r>
        <w:rPr/>
        <w:t xml:space="preserve">Tournera bientôt visage.</w:t>
      </w:r>
    </w:p>
    <w:p>
      <w:pPr>
        <w:pStyle w:val="Notedebasdepage"/>
      </w:pPr>
      <w:r>
        <w:rPr/>
        <w:t xml:space="preserve">………………………………..Mandez lettres et messages</w:t>
      </w:r>
    </w:p>
    <w:p>
      <w:pPr>
        <w:pStyle w:val="Notedebasdepage"/>
      </w:pPr>
      <w:r>
        <w:rPr/>
        <w:t xml:space="preserve">Chez le Goth et l'Allemand,</w:t>
      </w:r>
    </w:p>
    <w:p>
      <w:pPr>
        <w:pStyle w:val="Notedebasdepage"/>
      </w:pPr>
      <w:r>
        <w:rPr/>
        <w:t xml:space="preserve">Et dans tout le voisinage</w:t>
      </w:r>
    </w:p>
    <w:p>
      <w:pPr>
        <w:pStyle w:val="Notedebasdepage"/>
      </w:pPr>
      <w:r>
        <w:rPr/>
        <w:t xml:space="preserve">Criez au meurtre, à l'outrage</w:t>
      </w:r>
    </w:p>
    <w:p>
      <w:pPr>
        <w:pStyle w:val="Notedebasdepage"/>
      </w:pPr>
      <w:r>
        <w:rPr/>
        <w:t xml:space="preserve">On me pille, on me saccage,</w:t>
      </w:r>
    </w:p>
    <w:p>
      <w:pPr>
        <w:pStyle w:val="Notedebasdepage"/>
      </w:pPr>
      <w:r>
        <w:rPr/>
        <w:t xml:space="preserve">Proposez un arbitrage,</w:t>
      </w:r>
    </w:p>
    <w:p>
      <w:pPr>
        <w:pStyle w:val="Notedebasdepage"/>
      </w:pPr>
      <w:r>
        <w:rPr/>
        <w:t xml:space="preserve">Offrez des places d'otage</w:t>
      </w:r>
    </w:p>
    <w:p>
      <w:pPr>
        <w:pStyle w:val="Notedebasdepage"/>
      </w:pPr>
      <w:r>
        <w:rPr/>
        <w:t xml:space="preserve">Malgré votre tripotage</w:t>
      </w:r>
    </w:p>
    <w:p>
      <w:pPr>
        <w:pStyle w:val="Notedebasdepage"/>
      </w:pPr>
      <w:r>
        <w:rPr/>
        <w:t xml:space="preserve">Et votre patelinage,</w:t>
      </w:r>
    </w:p>
    <w:p>
      <w:pPr>
        <w:pStyle w:val="Notedebasdepage"/>
      </w:pPr>
      <w:r>
        <w:rPr/>
        <w:t xml:space="preserve">Notre roi vaillant et sage</w:t>
      </w:r>
    </w:p>
    <w:p>
      <w:pPr>
        <w:pStyle w:val="Notedebasdepage"/>
      </w:pPr>
      <w:r>
        <w:rPr/>
        <w:t xml:space="preserve">Ruinera ville et pacage,</w:t>
      </w:r>
    </w:p>
    <w:p>
      <w:pPr>
        <w:pStyle w:val="Notedebasdepage"/>
      </w:pPr>
      <w:r>
        <w:rPr/>
        <w:t xml:space="preserve">Mettra votre or au pillage,</w:t>
      </w:r>
    </w:p>
    <w:p>
      <w:pPr>
        <w:pStyle w:val="Notedebasdepage"/>
      </w:pPr>
      <w:r>
        <w:rPr/>
        <w:t xml:space="preserve">Vos personnes au carcan</w:t>
      </w:r>
    </w:p>
    <w:p>
      <w:pPr>
        <w:pStyle w:val="Notedebasdepage"/>
      </w:pPr>
      <w:r>
        <w:rPr/>
        <w:t xml:space="preserve">Et vos meubles d l'encan.</w:t>
      </w:r>
    </w:p>
    <w:p>
      <w:pPr>
        <w:pStyle w:val="Notedebasdepage"/>
      </w:pPr>
      <w:r>
        <w:rPr/>
        <w:t xml:space="preserve">(Note de S. W.)</w:t>
      </w:r>
    </w:p>
    <w:p>
      <w:pPr>
        <w:pStyle w:val="Notedebasdepage"/>
      </w:pPr>
      <w:r>
        <w:rPr/>
        <w:t xml:space="preserve">............................………..</w:t>
      </w:r>
    </w:p>
    <w:p>
      <w:pPr>
        <w:pStyle w:val="Notedebasdepage"/>
      </w:pPr>
      <w:r>
        <w:rPr/>
        <w:t xml:space="preserve">Je ne suis sorcier ni mage,</w:t>
      </w:r>
    </w:p>
    <w:p>
      <w:pPr>
        <w:pStyle w:val="Notedebasdepage"/>
      </w:pPr>
      <w:r>
        <w:rPr/>
        <w:t xml:space="preserve">Mais je prédis et je gage</w:t>
      </w:r>
    </w:p>
    <w:p>
      <w:pPr>
        <w:pStyle w:val="Notedebasdepage"/>
      </w:pPr>
      <w:r>
        <w:rPr/>
        <w:t xml:space="preserve">Qu'on verra naître l'herbage</w:t>
      </w:r>
    </w:p>
    <w:p>
      <w:pPr>
        <w:pStyle w:val="Notedebasdepage"/>
      </w:pPr>
      <w:r>
        <w:rPr/>
        <w:t xml:space="preserve">Dans les places d'Amsterdam,</w:t>
      </w:r>
    </w:p>
    <w:p>
      <w:pPr>
        <w:pStyle w:val="Notedebasdepage"/>
      </w:pPr>
      <w:r>
        <w:rPr/>
        <w:t xml:space="preserve">Que Dordrecht et Rotterdam</w:t>
      </w:r>
    </w:p>
    <w:p>
      <w:pPr>
        <w:pStyle w:val="Notedebasdepage"/>
      </w:pPr>
      <w:r>
        <w:rPr/>
        <w:t xml:space="preserve">Ne seront qu'un hermitage,</w:t>
      </w:r>
    </w:p>
    <w:p>
      <w:pPr>
        <w:pStyle w:val="Notedebasdepage"/>
      </w:pPr>
      <w:r>
        <w:rPr/>
        <w:t xml:space="preserve">Qu'un lieu désert et sauvage.</w:t>
      </w:r>
    </w:p>
    <w:p>
      <w:pPr>
        <w:pStyle w:val="Notedebasdepage"/>
      </w:pPr>
      <w:r>
        <w:rPr/>
        <w:t xml:space="preserve">............................………..</w:t>
      </w:r>
    </w:p>
  </w:footnote>
  <w:footnote w:id="3">
    <w:p>
      <w:pPr>
        <w:pStyle w:val="Notedebasdepage"/>
      </w:pPr>
      <w:r>
        <w:rPr>
          <w:rStyle w:val="Appelnotedebasdep"/>
        </w:rPr>
        <w:footnoteRef/>
        <w:t xml:space="preserve"> </w:t>
      </w:r>
      <w:r>
        <w:rPr/>
        <w:t xml:space="preserve"> Cette phrase manque dans le texte imprimé du </w:t>
      </w:r>
      <w:r>
        <w:rPr>
          <w:i/>
        </w:rPr>
        <w:t xml:space="preserve">Génie d'oc.</w:t>
      </w:r>
      <w:r>
        <w:rPr/>
        <w:t xml:space="preserve"> Il a paru nécessaire de l'ajouter. (Note de l'éditeur.)</w:t>
      </w:r>
    </w:p>
  </w:footnote>
  <w:footnote w:id="4">
    <w:p>
      <w:pPr>
        <w:pStyle w:val="Notedebasdepage"/>
      </w:pPr>
      <w:r>
        <w:rPr>
          <w:rStyle w:val="Appelnotedebasdep"/>
        </w:rPr>
        <w:footnoteRef/>
        <w:t xml:space="preserve"> </w:t>
      </w:r>
      <w:r>
        <w:rPr/>
        <w:t xml:space="preserve"> Le texte qui suit est tiré des </w:t>
      </w:r>
      <w:r>
        <w:rPr>
          <w:i/>
        </w:rPr>
        <w:t xml:space="preserve">Istorie fiorentine</w:t>
      </w:r>
      <w:r>
        <w:rPr/>
        <w:t xml:space="preserve"> de Machiavel, livre III, ch. XII-XVII. La traduction est de S. W. (Note de l'éditeur.)</w:t>
      </w:r>
    </w:p>
  </w:footnote>
  <w:footnote w:id="5">
    <w:p>
      <w:pPr>
        <w:pStyle w:val="Notedebasdepage"/>
      </w:pPr>
      <w:r>
        <w:rPr>
          <w:rStyle w:val="Appelnotedebasdep"/>
        </w:rPr>
        <w:footnoteRef/>
        <w:t xml:space="preserve"> </w:t>
      </w:r>
      <w:r>
        <w:rPr/>
        <w:t xml:space="preserve"> D'après cette formule, Machiavel concevait l'insurrection des </w:t>
      </w:r>
      <w:r>
        <w:rPr>
          <w:i/>
        </w:rPr>
        <w:t xml:space="preserve">Ciompi</w:t>
      </w:r>
      <w:r>
        <w:rPr/>
        <w:t xml:space="preserve"> comme essentiellement dirigée vers l'expropriation des riches. (Note de S. W.)</w:t>
      </w:r>
    </w:p>
  </w:footnote>
  <w:footnote w:id="6">
    <w:p>
      <w:pPr>
        <w:pStyle w:val="Notedebasdepage"/>
      </w:pPr>
      <w:r>
        <w:rPr>
          <w:rStyle w:val="Appelnotedebasdep"/>
        </w:rPr>
        <w:footnoteRef/>
        <w:t xml:space="preserve"> </w:t>
      </w:r>
      <w:r>
        <w:rPr/>
        <w:t xml:space="preserve">Citoyens privés de leurs droits en tant que « gibelins », c'est-à-dire sur la pression du parti « guelfe ». (Note de S. W.)</w:t>
      </w:r>
    </w:p>
  </w:footnote>
  <w:footnote w:id="7">
    <w:p>
      <w:pPr>
        <w:pStyle w:val="Notedebasdepage"/>
      </w:pPr>
      <w:r>
        <w:rPr>
          <w:rStyle w:val="Appelnotedebasdep"/>
        </w:rPr>
        <w:footnoteRef/>
        <w:t xml:space="preserve"> </w:t>
      </w:r>
      <w:r>
        <w:rPr/>
        <w:t xml:space="preserve">Le Conseil des huit de la guerre était une organisation dont tous les membres se trouvaient alors être du parti de la petite bourgeoisie. (Note de S. W.)</w:t>
      </w:r>
    </w:p>
  </w:footnote>
  <w:footnote w:id="8">
    <w:p>
      <w:pPr>
        <w:pStyle w:val="Notedebasdepage"/>
      </w:pPr>
      <w:r>
        <w:rPr>
          <w:rStyle w:val="Appelnotedebasdep"/>
        </w:rPr>
        <w:footnoteRef/>
        <w:t xml:space="preserve"> </w:t>
      </w:r>
      <w:r>
        <w:rPr/>
        <w:t xml:space="preserve">Le destinataire de ces lettres est inconnu. (Note de l'éditeur.)</w:t>
      </w:r>
    </w:p>
  </w:footnote>
  <w:footnote w:id="9">
    <w:p>
      <w:pPr>
        <w:pStyle w:val="Notedebasdepage"/>
      </w:pPr>
      <w:r>
        <w:rPr>
          <w:rStyle w:val="Appelnotedebasdep"/>
        </w:rPr>
        <w:footnoteRef/>
        <w:t xml:space="preserve"> </w:t>
      </w:r>
      <w:r>
        <w:rPr/>
        <w:t xml:space="preserve">Voir la deuxième note de l'éditeur.</w:t>
      </w:r>
    </w:p>
  </w:footnote>
  <w:footnote w:id="10">
    <w:p>
      <w:pPr>
        <w:pStyle w:val="Notedebasdepage"/>
      </w:pPr>
      <w:r>
        <w:rPr>
          <w:rStyle w:val="Appelnotedebasdep"/>
        </w:rPr>
        <w:footnoteRef/>
        <w:t xml:space="preserve"> </w:t>
      </w:r>
      <w:r>
        <w:rPr/>
        <w:t xml:space="preserve"> Titre donné par la revue </w:t>
      </w:r>
      <w:r>
        <w:rPr>
          <w:i/>
        </w:rPr>
        <w:t xml:space="preserve">La Révolution prolétarienne</w:t>
      </w:r>
      <w:r>
        <w:rPr/>
        <w:t xml:space="preserve"> à cet extrait d'une lettre de S. W., que la revue publia en le faisant précéder de ces mots : « Une camarade française, partie récemment en Allemagne, nous fait part de ses premières impressions. » (Note de l'éditeur.)</w:t>
      </w:r>
    </w:p>
  </w:footnote>
  <w:footnote w:id="11">
    <w:p>
      <w:pPr>
        <w:pStyle w:val="Notedebasdepage"/>
      </w:pPr>
      <w:r>
        <w:rPr>
          <w:rStyle w:val="Appelnotedebasdep"/>
        </w:rPr>
        <w:footnoteRef/>
        <w:t xml:space="preserve"> </w:t>
      </w:r>
      <w:r>
        <w:rPr/>
        <w:t xml:space="preserve"> Nous avons conservé la division de cette étude en dix articles qui ont paru successivement dans </w:t>
      </w:r>
      <w:r>
        <w:rPr>
          <w:i/>
        </w:rPr>
        <w:t xml:space="preserve">L'École émancipée.</w:t>
      </w:r>
      <w:r>
        <w:rPr/>
        <w:t xml:space="preserve"> (Note de l'éditeur.)</w:t>
      </w:r>
    </w:p>
  </w:footnote>
  <w:footnote w:id="12">
    <w:p>
      <w:pPr>
        <w:pStyle w:val="Notedebasdepage"/>
      </w:pPr>
      <w:r>
        <w:rPr>
          <w:rStyle w:val="Appelnotedebasdep"/>
        </w:rPr>
        <w:footnoteRef/>
        <w:t xml:space="preserve"> </w:t>
      </w:r>
      <w:r>
        <w:rPr/>
        <w:t xml:space="preserve"> Leipart a, par la suite, démenti cette interview, le journaliste maintient ses dires. Tout ce qu'on peut affirmer à ce sujet, c'est que les paroles rapportées par l'</w:t>
      </w:r>
      <w:r>
        <w:rPr>
          <w:i/>
        </w:rPr>
        <w:t xml:space="preserve">Excelsior</w:t>
      </w:r>
      <w:r>
        <w:rPr/>
        <w:t xml:space="preserve"> sont tout à fait conformes à la réputation de Leipart en Allemagne. (Note de S. W.)</w:t>
      </w:r>
    </w:p>
  </w:footnote>
  <w:footnote w:id="13">
    <w:p>
      <w:pPr>
        <w:pStyle w:val="Notedebasdepage"/>
      </w:pPr>
      <w:r>
        <w:rPr>
          <w:rStyle w:val="Appelnotedebasdep"/>
        </w:rPr>
        <w:footnoteRef/>
        <w:t xml:space="preserve"> </w:t>
      </w:r>
      <w:r>
        <w:rPr/>
        <w:t xml:space="preserve">Nous ne devons pas nous dissimuler notre responsabilité dans la situation allemande. L'argument favori des hitlériens contre les communistes est « Un ouvrier français est d'abord français, ensuite seulement ouvrier ». Nous aurions le droit d'organiser immé­diatement une vaste campagne, par articles, tracts brochures ou réunions, ou par tous ces moyens, pour manifester au prolétariat allemand notre solidarité agissante, faire comprendre au peuple français que France, par son impérialisme agressif et son attache­ment au système de Versailles est directement responsable du mouvement hitlérien, enfin préparer un accueil fraternel aux camarades allemands que la terreur fasciste forcera peut-être bientôt à passer la frontière. Rester inactifs sur ce terrain serait une grave faute ; et, au cas où le parti communiste n'entreprendrait rien de sérieux en ce sens, elle ne ferait que rendre ce devoir plus impérieux pour les organisations indépendantes comme notre Fédération. (Note de S. W.)</w:t>
      </w:r>
    </w:p>
  </w:footnote>
  <w:footnote w:id="14">
    <w:p>
      <w:pPr>
        <w:pStyle w:val="Notedebasdepage"/>
      </w:pPr>
      <w:r>
        <w:rPr>
          <w:rStyle w:val="Appelnotedebasdep"/>
        </w:rPr>
        <w:footnoteRef/>
        <w:t xml:space="preserve"> </w:t>
      </w:r>
      <w:r>
        <w:rPr/>
        <w:t xml:space="preserve"> Le groupe trotskyste allemand n'est pas « liquidé », contrairement à ce que </w:t>
      </w:r>
      <w:r>
        <w:rPr>
          <w:i/>
        </w:rPr>
        <w:t xml:space="preserve">L'Humanité</w:t>
      </w:r>
      <w:r>
        <w:rPr/>
        <w:t xml:space="preserve"> a annoncé bruyamment ; il a seulement perdu une fraction importante de ses membres (un quart, dit-on), qui a non seulement renié Trotsky, mais condamné toutes les oppositions. Un mois auparavant, les mêmes se vantaient d'être les meilleurs trotskystes. Le départ de tels éléments est un événement heureux pour le groupement ; mais la manière dont il s'est opéré semble indiquer un régime intérieur peu différent de celui du parti. (Note de S. W.)</w:t>
      </w:r>
    </w:p>
  </w:footnote>
  <w:footnote w:id="15">
    <w:p>
      <w:pPr>
        <w:pStyle w:val="Notedebasdepage"/>
      </w:pPr>
      <w:r>
        <w:rPr>
          <w:rStyle w:val="Appelnotedebasdep"/>
        </w:rPr>
        <w:footnoteRef/>
        <w:t xml:space="preserve"> </w:t>
      </w:r>
      <w:r>
        <w:rPr/>
        <w:t xml:space="preserve">La M. O. R. (Minorité oppositionnelle révolutionnaire) était, dans la Fédération de l'enseignement, le groupe des partisans d'une alliance étroite avec le parti communiste. Bien que la Fédération fût affiliée à la C. G T. U., le majorité fédérale était en faveur d'une indépendance réelle du syndicalisme. (Note de l'éditeur.)</w:t>
      </w:r>
    </w:p>
  </w:footnote>
  <w:footnote w:id="16">
    <w:p>
      <w:pPr>
        <w:pStyle w:val="Notedebasdepage"/>
      </w:pPr>
      <w:r>
        <w:rPr>
          <w:rStyle w:val="Appelnotedebasdep"/>
        </w:rPr>
        <w:footnoteRef/>
        <w:t xml:space="preserve"> </w:t>
      </w:r>
      <w:r>
        <w:rPr/>
        <w:t xml:space="preserve">Ici et plus loin les italiques sont de nous. (Note de S. W.)</w:t>
      </w:r>
    </w:p>
  </w:footnote>
  <w:footnote w:id="17">
    <w:p>
      <w:pPr>
        <w:pStyle w:val="Notedebasdepage"/>
      </w:pPr>
      <w:r>
        <w:rPr>
          <w:rStyle w:val="Appelnotedebasdep"/>
        </w:rPr>
        <w:footnoteRef/>
        <w:t xml:space="preserve"> </w:t>
      </w:r>
      <w:r>
        <w:rPr>
          <w:i/>
        </w:rPr>
        <w:t xml:space="preserve">L'École émancipée</w:t>
      </w:r>
      <w:r>
        <w:rPr/>
        <w:t xml:space="preserve"> met en note à la fin de cet article : </w:t>
      </w:r>
      <w:r>
        <w:rPr>
          <w:i/>
        </w:rPr>
        <w:t xml:space="preserve">Reçu le 24 juin.</w:t>
      </w:r>
    </w:p>
  </w:footnote>
  <w:footnote w:id="18">
    <w:p>
      <w:pPr>
        <w:pStyle w:val="Notedebasdepage"/>
      </w:pPr>
      <w:r>
        <w:rPr>
          <w:rStyle w:val="Appelnotedebasdep"/>
        </w:rPr>
        <w:footnoteRef/>
        <w:t xml:space="preserve"> </w:t>
      </w:r>
      <w:r>
        <w:rPr/>
        <w:t xml:space="preserve">Secours.</w:t>
      </w:r>
    </w:p>
  </w:footnote>
  <w:footnote w:id="19">
    <w:p>
      <w:pPr>
        <w:pStyle w:val="Notedebasdepage"/>
      </w:pPr>
      <w:r>
        <w:rPr>
          <w:rStyle w:val="Appelnotedebasdep"/>
        </w:rPr>
        <w:footnoteRef/>
        <w:t xml:space="preserve"> </w:t>
      </w:r>
      <w:r>
        <w:rPr/>
        <w:t xml:space="preserve">Hommes.</w:t>
      </w:r>
    </w:p>
  </w:footnote>
  <w:footnote w:id="20">
    <w:p>
      <w:pPr>
        <w:pStyle w:val="Notedebasdepage"/>
      </w:pPr>
      <w:r>
        <w:rPr>
          <w:rStyle w:val="Appelnotedebasdep"/>
        </w:rPr>
        <w:footnoteRef/>
        <w:t xml:space="preserve"> </w:t>
      </w:r>
      <w:r>
        <w:rPr/>
        <w:t xml:space="preserve">Cet article a paru en 1933.</w:t>
      </w:r>
    </w:p>
  </w:footnote>
  <w:footnote w:id="21">
    <w:p>
      <w:pPr>
        <w:pStyle w:val="Notedebasdepage"/>
      </w:pPr>
      <w:r>
        <w:rPr>
          <w:rStyle w:val="Appelnotedebasdep"/>
        </w:rPr>
        <w:footnoteRef/>
        <w:t xml:space="preserve"> </w:t>
      </w:r>
      <w:r>
        <w:rPr/>
        <w:t xml:space="preserve"> Il s'agit du </w:t>
      </w:r>
      <w:r>
        <w:rPr>
          <w:i/>
        </w:rPr>
        <w:t xml:space="preserve">Questionnaire d'Alain</w:t>
      </w:r>
      <w:r>
        <w:rPr/>
        <w:t xml:space="preserve">, publié dans le n° 34 de </w:t>
      </w:r>
      <w:r>
        <w:rPr>
          <w:i/>
        </w:rPr>
        <w:t xml:space="preserve">Vigilance</w:t>
      </w:r>
      <w:r>
        <w:rPr/>
        <w:t xml:space="preserve">, le 20 mars 1936, pp. 10-11. (Note de l'éditeur.)</w:t>
      </w:r>
    </w:p>
  </w:footnote>
  <w:footnote w:id="22">
    <w:p>
      <w:pPr>
        <w:pStyle w:val="Notedebasdepage"/>
      </w:pPr>
      <w:r>
        <w:rPr>
          <w:rStyle w:val="Appelnotedebasdep"/>
        </w:rPr>
        <w:footnoteRef/>
        <w:t xml:space="preserve"> </w:t>
      </w:r>
      <w:r>
        <w:rPr/>
        <w:t xml:space="preserve"> Écrit à Londres pour les services de la </w:t>
      </w:r>
      <w:r>
        <w:rPr>
          <w:i/>
        </w:rPr>
        <w:t xml:space="preserve">France Libre</w:t>
      </w:r>
      <w:r>
        <w:rPr/>
        <w:t xml:space="preserve">. (Note de l'éditeur.)</w:t>
      </w:r>
    </w:p>
  </w:footnote>
  <w:footnote w:id="23">
    <w:p>
      <w:pPr>
        <w:pStyle w:val="Notedebasdepage"/>
      </w:pPr>
      <w:r>
        <w:rPr>
          <w:rStyle w:val="Appelnotedebasdep"/>
        </w:rPr>
        <w:footnoteRef/>
        <w:t xml:space="preserve"> </w:t>
      </w:r>
      <w:r>
        <w:rPr/>
        <w:t xml:space="preserve"> Variante de : </w:t>
      </w:r>
      <w:r>
        <w:rPr>
          <w:i/>
        </w:rPr>
        <w:t xml:space="preserve">Rome et l'Albanie.</w:t>
      </w:r>
    </w:p>
  </w:footnote>
  <w:footnote w:id="24">
    <w:p>
      <w:pPr>
        <w:pStyle w:val="Notedebasdepage"/>
      </w:pPr>
      <w:r>
        <w:rPr>
          <w:rStyle w:val="Appelnotedebasdep"/>
        </w:rPr>
        <w:footnoteRef/>
        <w:t xml:space="preserve"> </w:t>
      </w:r>
      <w:r>
        <w:rPr/>
        <w:t xml:space="preserve">Solidaridad obrera.</w:t>
      </w:r>
    </w:p>
  </w:footnote>
  <w:footnote w:id="25">
    <w:p>
      <w:pPr>
        <w:pStyle w:val="Notedebasdepage"/>
      </w:pPr>
      <w:r>
        <w:rPr>
          <w:rStyle w:val="Appelnotedebasdep"/>
        </w:rPr>
        <w:footnoteRef/>
        <w:t xml:space="preserve"> </w:t>
      </w:r>
      <w:r>
        <w:rPr/>
        <w:t xml:space="preserve"> Peut-être une ébauche pour un texte destiné aux </w:t>
      </w:r>
      <w:r>
        <w:rPr>
          <w:i/>
        </w:rPr>
        <w:t xml:space="preserve">Nouveaux Cahiers</w:t>
      </w:r>
      <w:r>
        <w:rPr/>
        <w:t xml:space="preserve"> qui avaient une rubrique : </w:t>
      </w:r>
      <w:r>
        <w:rPr>
          <w:i/>
        </w:rPr>
        <w:t xml:space="preserve">Pouvoir des mots</w:t>
      </w:r>
      <w:r>
        <w:rPr/>
        <w:t xml:space="preserve">. (Note de l'éditeur.)</w:t>
      </w:r>
    </w:p>
  </w:footnote>
  <w:footnote w:id="26">
    <w:p>
      <w:pPr>
        <w:pStyle w:val="Notedebasdepage"/>
      </w:pPr>
      <w:r>
        <w:rPr>
          <w:rStyle w:val="Appelnotedebasdep"/>
        </w:rPr>
        <w:footnoteRef/>
        <w:t xml:space="preserve"> </w:t>
      </w:r>
      <w:r>
        <w:rPr/>
        <w:t xml:space="preserve">Variante de Quelques méditations concernant l'économie. (Note de l'éditeur.)</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