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SimHei"/>
          <w:b/>
          <w:color w:val="0B2545"/>
          <w:sz w:val="36"/>
        </w:rPr>
        <w:t>基于改进 YOLOv8s 的 VisDrone 目标检测实验报告</w:t>
      </w:r>
    </w:p>
    <w:p>
      <w:pPr>
        <w:spacing w:after="240"/>
        <w:jc w:val="center"/>
      </w:pPr>
      <w:r>
        <w:rPr>
          <w:color w:val="555555"/>
          <w:sz w:val="20"/>
        </w:rPr>
        <w:t>数据集：VisDroneYOLO    基础模型：YOLOv8s    改进模型：LUD-YOLOv8s</w:t>
      </w:r>
    </w:p>
    <w:p>
      <w:pPr>
        <w:pStyle w:val="Heading1"/>
      </w:pPr>
      <w:r>
        <w:t>一、实验目的</w:t>
      </w:r>
    </w:p>
    <w:p>
      <w:pPr/>
      <w:r>
        <w:t>本实验面向无人机航拍场景中的多目标检测任务，采用 VisDrone 数据集对 YOLOv8s 模型进行训练与改进。由于 VisDrone 图像中存在目标尺度小、数量密集、遮挡严重以及类别形态差异较大的问题，原始 YOLOv8s 在部分类别上容易出现漏检或定位不准确。因此，本实验在 YOLOv8s 的基础上引入注意力增强模块和多尺度自适应特征融合模块，以提升模型对复杂航拍场景目标的检测能力。</w:t>
      </w:r>
    </w:p>
    <w:p>
      <w:pPr>
        <w:pStyle w:val="Heading1"/>
      </w:pPr>
      <w:r>
        <w:t>二、采用的方法</w:t>
      </w:r>
    </w:p>
    <w:p>
      <w:pPr/>
      <w:r>
        <w:t>实验以 YOLOv8s 作为基础检测网络，并参考 LUD-YOLO 的改进思路，对网络结构进行定制化调整。模型训练使用 YOLO 格式的 VisDrone 数据集，类别数为 10 类，包括 pedestrian、person、bicycle、car、van、truck、tricycle、awning-tricycle、bus 和 motor。训练过程中使用 960×960 输入尺寸，并结合 Mosaic、Copy-Paste、MixUp 等数据增强方式提高模型的泛化能力。</w:t>
      </w:r>
    </w:p>
    <w:p>
      <w:pPr>
        <w:pStyle w:val="ListBullet"/>
      </w:pPr>
      <w:r>
        <w:t>训练轮数设置为 100 epoch，batch size 设置为 4。</w:t>
      </w:r>
    </w:p>
    <w:p>
      <w:pPr>
        <w:pStyle w:val="ListBullet"/>
      </w:pPr>
      <w:r>
        <w:t>训练设备为 NVIDIA GeForce RTX 4060 Laptop GPU。</w:t>
      </w:r>
    </w:p>
    <w:p>
      <w:pPr>
        <w:pStyle w:val="ListBullet"/>
      </w:pPr>
      <w:r>
        <w:t>训练框架为 Ultralytics YOLO 8.4.53，PyTorch 2.9.1 + CUDA 12.6。</w:t>
      </w:r>
    </w:p>
    <w:p>
      <w:pPr>
        <w:pStyle w:val="ListBullet"/>
      </w:pPr>
      <w:r>
        <w:t>训练完成后使用验证集对 best.pt 权重进行评估。</w:t>
      </w:r>
    </w:p>
    <w:p>
      <w:pPr>
        <w:pStyle w:val="Heading1"/>
      </w:pPr>
      <w:r>
        <w:t>三、YOLOv8s 网络结构改进</w:t>
      </w:r>
    </w:p>
    <w:p>
      <w:pPr/>
      <w:r>
        <w:t>本实验主要从骨干网络特征提取和检测头特征融合两个方面对原始 YOLOv8s 进行改进。</w:t>
      </w:r>
    </w:p>
    <w:p>
      <w:pPr>
        <w:pStyle w:val="Heading2"/>
      </w:pPr>
      <w:r>
        <w:t>1. 引入 C2fBRA 注意力模块</w:t>
      </w:r>
    </w:p>
    <w:p>
      <w:pPr/>
      <w:r>
        <w:t>原始 YOLOv8s 中的 C2f 模块具有较好的梯度流动和特征复用能力，但在无人机航拍图像中，复杂背景和小目标密集分布会削弱关键目标特征。因此，本实验将部分 C2f 模块替换为 C2fBRA 模块，在 Bottleneck 结构中加入注意力增强机制，使网络能够更加关注有效目标区域，从而增强小目标和遮挡目标的特征表达能力。</w:t>
      </w:r>
    </w:p>
    <w:p>
      <w:pPr>
        <w:pStyle w:val="Heading2"/>
      </w:pPr>
      <w:r>
        <w:t>2. 引入 ASFF3 自适应特征融合模块</w:t>
      </w:r>
    </w:p>
    <w:p>
      <w:pPr/>
      <w:r>
        <w:t>VisDrone 数据集中目标尺度变化明显，同一图像中可能同时存在车辆、行人、非机动车等多类不同尺度目标。为增强多尺度特征融合能力，本实验在检测头中引入 ASFF3 模块，对来自不同层级的特征图进行自适应加权融合。该模块能够根据目标尺度和特征响应动态调整不同尺度特征的贡献，有助于提升模型对多尺度目标的检出能力。</w:t>
      </w:r>
    </w:p>
    <w:tbl>
      <w:tblPr>
        <w:tblStyle w:val="TableGrid"/>
        <w:tblW w:type="dxa" w:w="9360"/>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80" w:type="dxa"/>
          <w:start w:w="120" w:type="dxa"/>
          <w:bottom w:w="80" w:type="dxa"/>
          <w:end w:w="120" w:type="dxa"/>
        </w:tblCellMar>
      </w:tblPr>
      <w:tblGrid>
        <w:gridCol w:w="2500"/>
        <w:gridCol w:w="1900"/>
        <w:gridCol w:w="2500"/>
        <w:gridCol w:w="2460"/>
      </w:tblGrid>
      <w:tr>
        <w:tc>
          <w:tcPr>
            <w:tcW w:type="dxa" w:w="2500"/>
            <w:shd w:fill="F2F4F7"/>
            <w:vAlign w:val="center"/>
          </w:tcPr>
          <w:p>
            <w:pPr>
              <w:jc w:val="center"/>
            </w:pPr>
            <w:r>
              <w:rPr>
                <w:b/>
                <w:sz w:val="19"/>
              </w:rPr>
              <w:t>模型</w:t>
            </w:r>
          </w:p>
        </w:tc>
        <w:tc>
          <w:tcPr>
            <w:tcW w:type="dxa" w:w="1900"/>
            <w:shd w:fill="F2F4F7"/>
            <w:vAlign w:val="center"/>
          </w:tcPr>
          <w:p>
            <w:pPr>
              <w:jc w:val="center"/>
            </w:pPr>
            <w:r>
              <w:rPr>
                <w:b/>
                <w:sz w:val="19"/>
              </w:rPr>
              <w:t>层数</w:t>
            </w:r>
          </w:p>
        </w:tc>
        <w:tc>
          <w:tcPr>
            <w:tcW w:type="dxa" w:w="2500"/>
            <w:shd w:fill="F2F4F7"/>
            <w:vAlign w:val="center"/>
          </w:tcPr>
          <w:p>
            <w:pPr>
              <w:jc w:val="center"/>
            </w:pPr>
            <w:r>
              <w:rPr>
                <w:b/>
                <w:sz w:val="19"/>
              </w:rPr>
              <w:t>参数量</w:t>
            </w:r>
          </w:p>
        </w:tc>
        <w:tc>
          <w:tcPr>
            <w:tcW w:type="dxa" w:w="2460"/>
            <w:shd w:fill="F2F4F7"/>
            <w:vAlign w:val="center"/>
          </w:tcPr>
          <w:p>
            <w:pPr>
              <w:jc w:val="center"/>
            </w:pPr>
            <w:r>
              <w:rPr>
                <w:b/>
                <w:sz w:val="19"/>
              </w:rPr>
              <w:t>计算量</w:t>
            </w:r>
          </w:p>
        </w:tc>
      </w:tr>
      <w:tr>
        <w:tc>
          <w:tcPr>
            <w:tcW w:type="dxa" w:w="2500"/>
            <w:vAlign w:val="center"/>
          </w:tcPr>
          <w:p>
            <w:pPr>
              <w:jc w:val="left"/>
            </w:pPr>
            <w:r>
              <w:rPr>
                <w:sz w:val="19"/>
              </w:rPr>
              <w:t>改进 LUD-YOLOv8s</w:t>
            </w:r>
          </w:p>
        </w:tc>
        <w:tc>
          <w:tcPr>
            <w:tcW w:type="dxa" w:w="1900"/>
            <w:vAlign w:val="center"/>
          </w:tcPr>
          <w:p>
            <w:pPr>
              <w:jc w:val="center"/>
            </w:pPr>
            <w:r>
              <w:rPr>
                <w:sz w:val="19"/>
              </w:rPr>
              <w:t>173 layers</w:t>
            </w:r>
          </w:p>
        </w:tc>
        <w:tc>
          <w:tcPr>
            <w:tcW w:type="dxa" w:w="2500"/>
            <w:vAlign w:val="center"/>
          </w:tcPr>
          <w:p>
            <w:pPr>
              <w:jc w:val="center"/>
            </w:pPr>
            <w:r>
              <w:rPr>
                <w:sz w:val="19"/>
              </w:rPr>
              <w:t>17,309,885</w:t>
            </w:r>
          </w:p>
        </w:tc>
        <w:tc>
          <w:tcPr>
            <w:tcW w:type="dxa" w:w="2460"/>
            <w:vAlign w:val="center"/>
          </w:tcPr>
          <w:p>
            <w:pPr>
              <w:jc w:val="center"/>
            </w:pPr>
            <w:r>
              <w:rPr>
                <w:sz w:val="19"/>
              </w:rPr>
              <w:t>42.1 GFLOPs</w:t>
            </w:r>
          </w:p>
        </w:tc>
      </w:tr>
    </w:tbl>
    <w:p>
      <w:pPr>
        <w:pStyle w:val="Heading1"/>
      </w:pPr>
      <w:r>
        <w:t>四、训练结果</w:t>
      </w:r>
    </w:p>
    <w:p>
      <w:pPr/>
      <w:r>
        <w:t>模型训练 100 epoch 后完成验证，验证集共包含 548 张图像和 38,759 个目标实例。整体检测结果如下表所示。</w:t>
      </w:r>
    </w:p>
    <w:tbl>
      <w:tblPr>
        <w:tblStyle w:val="TableGrid"/>
        <w:tblW w:type="dxa" w:w="9360"/>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80" w:type="dxa"/>
          <w:start w:w="120" w:type="dxa"/>
          <w:bottom w:w="80" w:type="dxa"/>
          <w:end w:w="120" w:type="dxa"/>
        </w:tblCellMar>
      </w:tblPr>
      <w:tblGrid>
        <w:gridCol w:w="2340"/>
        <w:gridCol w:w="2340"/>
        <w:gridCol w:w="2340"/>
        <w:gridCol w:w="2340"/>
      </w:tblGrid>
      <w:tr>
        <w:tc>
          <w:tcPr>
            <w:tcW w:type="dxa" w:w="2340"/>
            <w:shd w:fill="F2F4F7"/>
            <w:vAlign w:val="center"/>
          </w:tcPr>
          <w:p>
            <w:pPr>
              <w:jc w:val="center"/>
            </w:pPr>
            <w:r>
              <w:rPr>
                <w:b/>
                <w:sz w:val="19"/>
              </w:rPr>
              <w:t>Precision</w:t>
            </w:r>
          </w:p>
        </w:tc>
        <w:tc>
          <w:tcPr>
            <w:tcW w:type="dxa" w:w="2340"/>
            <w:shd w:fill="F2F4F7"/>
            <w:vAlign w:val="center"/>
          </w:tcPr>
          <w:p>
            <w:pPr>
              <w:jc w:val="center"/>
            </w:pPr>
            <w:r>
              <w:rPr>
                <w:b/>
                <w:sz w:val="19"/>
              </w:rPr>
              <w:t>Recall</w:t>
            </w:r>
          </w:p>
        </w:tc>
        <w:tc>
          <w:tcPr>
            <w:tcW w:type="dxa" w:w="2340"/>
            <w:shd w:fill="F2F4F7"/>
            <w:vAlign w:val="center"/>
          </w:tcPr>
          <w:p>
            <w:pPr>
              <w:jc w:val="center"/>
            </w:pPr>
            <w:r>
              <w:rPr>
                <w:b/>
                <w:sz w:val="19"/>
              </w:rPr>
              <w:t>mAP50</w:t>
            </w:r>
          </w:p>
        </w:tc>
        <w:tc>
          <w:tcPr>
            <w:tcW w:type="dxa" w:w="2340"/>
            <w:shd w:fill="F2F4F7"/>
            <w:vAlign w:val="center"/>
          </w:tcPr>
          <w:p>
            <w:pPr>
              <w:jc w:val="center"/>
            </w:pPr>
            <w:r>
              <w:rPr>
                <w:b/>
                <w:sz w:val="19"/>
              </w:rPr>
              <w:t>mAP50-95</w:t>
            </w:r>
          </w:p>
        </w:tc>
      </w:tr>
      <w:tr>
        <w:tc>
          <w:tcPr>
            <w:tcW w:type="dxa" w:w="2340"/>
            <w:vAlign w:val="center"/>
          </w:tcPr>
          <w:p>
            <w:pPr>
              <w:jc w:val="left"/>
            </w:pPr>
            <w:r>
              <w:rPr>
                <w:sz w:val="19"/>
              </w:rPr>
              <w:t>0.601</w:t>
            </w:r>
          </w:p>
        </w:tc>
        <w:tc>
          <w:tcPr>
            <w:tcW w:type="dxa" w:w="2340"/>
            <w:vAlign w:val="center"/>
          </w:tcPr>
          <w:p>
            <w:pPr>
              <w:jc w:val="center"/>
            </w:pPr>
            <w:r>
              <w:rPr>
                <w:sz w:val="19"/>
              </w:rPr>
              <w:t>0.486</w:t>
            </w:r>
          </w:p>
        </w:tc>
        <w:tc>
          <w:tcPr>
            <w:tcW w:type="dxa" w:w="2340"/>
            <w:vAlign w:val="center"/>
          </w:tcPr>
          <w:p>
            <w:pPr>
              <w:jc w:val="center"/>
            </w:pPr>
            <w:r>
              <w:rPr>
                <w:sz w:val="19"/>
              </w:rPr>
              <w:t>0.488</w:t>
            </w:r>
          </w:p>
        </w:tc>
        <w:tc>
          <w:tcPr>
            <w:tcW w:type="dxa" w:w="2340"/>
            <w:vAlign w:val="center"/>
          </w:tcPr>
          <w:p>
            <w:pPr>
              <w:jc w:val="center"/>
            </w:pPr>
            <w:r>
              <w:rPr>
                <w:sz w:val="19"/>
              </w:rPr>
              <w:t>0.280</w:t>
            </w:r>
          </w:p>
        </w:tc>
      </w:tr>
    </w:tbl>
    <w:p>
      <w:pPr/>
      <w:r>
        <w:t>从整体指标来看，模型 Precision 为 0.601，说明预测结果中正确目标占比较高；Recall 为 0.486，说明模型仍存在一定漏检现象。mAP50 达到 0.488，表明模型在较宽松 IoU 阈值下具备一定检测能力；mAP50-95 为 0.280，说明在更严格定位要求下，检测框精度仍有进一步提升空间。</w:t>
      </w:r>
    </w:p>
    <w:p>
      <w:pPr>
        <w:pStyle w:val="Heading1"/>
      </w:pPr>
      <w:r>
        <w:t>五、分类别检测效果分析</w:t>
      </w:r>
    </w:p>
    <w:tbl>
      <w:tblPr>
        <w:tblStyle w:val="TableGrid"/>
        <w:tblW w:type="dxa" w:w="9360"/>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80" w:type="dxa"/>
          <w:start w:w="120" w:type="dxa"/>
          <w:bottom w:w="80" w:type="dxa"/>
          <w:end w:w="120" w:type="dxa"/>
        </w:tblCellMar>
      </w:tblPr>
      <w:tblGrid>
        <w:gridCol w:w="1900"/>
        <w:gridCol w:w="1150"/>
        <w:gridCol w:w="1350"/>
        <w:gridCol w:w="1100"/>
        <w:gridCol w:w="1100"/>
        <w:gridCol w:w="1300"/>
        <w:gridCol w:w="1460"/>
      </w:tblGrid>
      <w:tr>
        <w:tc>
          <w:tcPr>
            <w:tcW w:type="dxa" w:w="1900"/>
            <w:shd w:fill="F2F4F7"/>
            <w:vAlign w:val="center"/>
          </w:tcPr>
          <w:p>
            <w:pPr>
              <w:jc w:val="center"/>
            </w:pPr>
            <w:r>
              <w:rPr>
                <w:b/>
                <w:sz w:val="19"/>
              </w:rPr>
              <w:t>类别</w:t>
            </w:r>
          </w:p>
        </w:tc>
        <w:tc>
          <w:tcPr>
            <w:tcW w:type="dxa" w:w="1150"/>
            <w:shd w:fill="F2F4F7"/>
            <w:vAlign w:val="center"/>
          </w:tcPr>
          <w:p>
            <w:pPr>
              <w:jc w:val="center"/>
            </w:pPr>
            <w:r>
              <w:rPr>
                <w:b/>
                <w:sz w:val="19"/>
              </w:rPr>
              <w:t>Images</w:t>
            </w:r>
          </w:p>
        </w:tc>
        <w:tc>
          <w:tcPr>
            <w:tcW w:type="dxa" w:w="1350"/>
            <w:shd w:fill="F2F4F7"/>
            <w:vAlign w:val="center"/>
          </w:tcPr>
          <w:p>
            <w:pPr>
              <w:jc w:val="center"/>
            </w:pPr>
            <w:r>
              <w:rPr>
                <w:b/>
                <w:sz w:val="19"/>
              </w:rPr>
              <w:t>Instances</w:t>
            </w:r>
          </w:p>
        </w:tc>
        <w:tc>
          <w:tcPr>
            <w:tcW w:type="dxa" w:w="1100"/>
            <w:shd w:fill="F2F4F7"/>
            <w:vAlign w:val="center"/>
          </w:tcPr>
          <w:p>
            <w:pPr>
              <w:jc w:val="center"/>
            </w:pPr>
            <w:r>
              <w:rPr>
                <w:b/>
                <w:sz w:val="19"/>
              </w:rPr>
              <w:t>P</w:t>
            </w:r>
          </w:p>
        </w:tc>
        <w:tc>
          <w:tcPr>
            <w:tcW w:type="dxa" w:w="1100"/>
            <w:shd w:fill="F2F4F7"/>
            <w:vAlign w:val="center"/>
          </w:tcPr>
          <w:p>
            <w:pPr>
              <w:jc w:val="center"/>
            </w:pPr>
            <w:r>
              <w:rPr>
                <w:b/>
                <w:sz w:val="19"/>
              </w:rPr>
              <w:t>R</w:t>
            </w:r>
          </w:p>
        </w:tc>
        <w:tc>
          <w:tcPr>
            <w:tcW w:type="dxa" w:w="1300"/>
            <w:shd w:fill="F2F4F7"/>
            <w:vAlign w:val="center"/>
          </w:tcPr>
          <w:p>
            <w:pPr>
              <w:jc w:val="center"/>
            </w:pPr>
            <w:r>
              <w:rPr>
                <w:b/>
                <w:sz w:val="19"/>
              </w:rPr>
              <w:t>mAP50</w:t>
            </w:r>
          </w:p>
        </w:tc>
        <w:tc>
          <w:tcPr>
            <w:tcW w:type="dxa" w:w="1460"/>
            <w:shd w:fill="F2F4F7"/>
            <w:vAlign w:val="center"/>
          </w:tcPr>
          <w:p>
            <w:pPr>
              <w:jc w:val="center"/>
            </w:pPr>
            <w:r>
              <w:rPr>
                <w:b/>
                <w:sz w:val="19"/>
              </w:rPr>
              <w:t>mAP50-95</w:t>
            </w:r>
          </w:p>
        </w:tc>
      </w:tr>
      <w:tr>
        <w:tc>
          <w:tcPr>
            <w:tcW w:type="dxa" w:w="1900"/>
            <w:vAlign w:val="center"/>
          </w:tcPr>
          <w:p>
            <w:pPr>
              <w:jc w:val="left"/>
            </w:pPr>
            <w:r>
              <w:rPr>
                <w:sz w:val="19"/>
              </w:rPr>
              <w:t>pedestrian</w:t>
            </w:r>
          </w:p>
        </w:tc>
        <w:tc>
          <w:tcPr>
            <w:tcW w:type="dxa" w:w="1150"/>
            <w:vAlign w:val="center"/>
          </w:tcPr>
          <w:p>
            <w:pPr>
              <w:jc w:val="center"/>
            </w:pPr>
            <w:r>
              <w:rPr>
                <w:sz w:val="19"/>
              </w:rPr>
              <w:t>520</w:t>
            </w:r>
          </w:p>
        </w:tc>
        <w:tc>
          <w:tcPr>
            <w:tcW w:type="dxa" w:w="1350"/>
            <w:vAlign w:val="center"/>
          </w:tcPr>
          <w:p>
            <w:pPr>
              <w:jc w:val="center"/>
            </w:pPr>
            <w:r>
              <w:rPr>
                <w:sz w:val="19"/>
              </w:rPr>
              <w:t>8844</w:t>
            </w:r>
          </w:p>
        </w:tc>
        <w:tc>
          <w:tcPr>
            <w:tcW w:type="dxa" w:w="1100"/>
            <w:vAlign w:val="center"/>
          </w:tcPr>
          <w:p>
            <w:pPr>
              <w:jc w:val="center"/>
            </w:pPr>
            <w:r>
              <w:rPr>
                <w:sz w:val="19"/>
              </w:rPr>
              <w:t>0.678</w:t>
            </w:r>
          </w:p>
        </w:tc>
        <w:tc>
          <w:tcPr>
            <w:tcW w:type="dxa" w:w="1100"/>
            <w:vAlign w:val="center"/>
          </w:tcPr>
          <w:p>
            <w:pPr>
              <w:jc w:val="center"/>
            </w:pPr>
            <w:r>
              <w:rPr>
                <w:sz w:val="19"/>
              </w:rPr>
              <w:t>0.528</w:t>
            </w:r>
          </w:p>
        </w:tc>
        <w:tc>
          <w:tcPr>
            <w:tcW w:type="dxa" w:w="1300"/>
            <w:vAlign w:val="center"/>
          </w:tcPr>
          <w:p>
            <w:pPr>
              <w:jc w:val="center"/>
            </w:pPr>
            <w:r>
              <w:rPr>
                <w:sz w:val="19"/>
              </w:rPr>
              <w:t>0.562</w:t>
            </w:r>
          </w:p>
        </w:tc>
        <w:tc>
          <w:tcPr>
            <w:tcW w:type="dxa" w:w="1460"/>
            <w:vAlign w:val="center"/>
          </w:tcPr>
          <w:p>
            <w:pPr>
              <w:jc w:val="center"/>
            </w:pPr>
            <w:r>
              <w:rPr>
                <w:sz w:val="19"/>
              </w:rPr>
              <w:t>0.251</w:t>
            </w:r>
          </w:p>
        </w:tc>
      </w:tr>
      <w:tr>
        <w:tc>
          <w:tcPr>
            <w:tcW w:type="dxa" w:w="1900"/>
            <w:vAlign w:val="center"/>
          </w:tcPr>
          <w:p>
            <w:pPr>
              <w:jc w:val="left"/>
            </w:pPr>
            <w:r>
              <w:rPr>
                <w:sz w:val="19"/>
              </w:rPr>
              <w:t>person</w:t>
            </w:r>
          </w:p>
        </w:tc>
        <w:tc>
          <w:tcPr>
            <w:tcW w:type="dxa" w:w="1150"/>
            <w:vAlign w:val="center"/>
          </w:tcPr>
          <w:p>
            <w:pPr>
              <w:jc w:val="center"/>
            </w:pPr>
            <w:r>
              <w:rPr>
                <w:sz w:val="19"/>
              </w:rPr>
              <w:t>482</w:t>
            </w:r>
          </w:p>
        </w:tc>
        <w:tc>
          <w:tcPr>
            <w:tcW w:type="dxa" w:w="1350"/>
            <w:vAlign w:val="center"/>
          </w:tcPr>
          <w:p>
            <w:pPr>
              <w:jc w:val="center"/>
            </w:pPr>
            <w:r>
              <w:rPr>
                <w:sz w:val="19"/>
              </w:rPr>
              <w:t>5125</w:t>
            </w:r>
          </w:p>
        </w:tc>
        <w:tc>
          <w:tcPr>
            <w:tcW w:type="dxa" w:w="1100"/>
            <w:vAlign w:val="center"/>
          </w:tcPr>
          <w:p>
            <w:pPr>
              <w:jc w:val="center"/>
            </w:pPr>
            <w:r>
              <w:rPr>
                <w:sz w:val="19"/>
              </w:rPr>
              <w:t>0.644</w:t>
            </w:r>
          </w:p>
        </w:tc>
        <w:tc>
          <w:tcPr>
            <w:tcW w:type="dxa" w:w="1100"/>
            <w:vAlign w:val="center"/>
          </w:tcPr>
          <w:p>
            <w:pPr>
              <w:jc w:val="center"/>
            </w:pPr>
            <w:r>
              <w:rPr>
                <w:sz w:val="19"/>
              </w:rPr>
              <w:t>0.425</w:t>
            </w:r>
          </w:p>
        </w:tc>
        <w:tc>
          <w:tcPr>
            <w:tcW w:type="dxa" w:w="1300"/>
            <w:vAlign w:val="center"/>
          </w:tcPr>
          <w:p>
            <w:pPr>
              <w:jc w:val="center"/>
            </w:pPr>
            <w:r>
              <w:rPr>
                <w:sz w:val="19"/>
              </w:rPr>
              <w:t>0.442</w:t>
            </w:r>
          </w:p>
        </w:tc>
        <w:tc>
          <w:tcPr>
            <w:tcW w:type="dxa" w:w="1460"/>
            <w:vAlign w:val="center"/>
          </w:tcPr>
          <w:p>
            <w:pPr>
              <w:jc w:val="center"/>
            </w:pPr>
            <w:r>
              <w:rPr>
                <w:sz w:val="19"/>
              </w:rPr>
              <w:t>0.167</w:t>
            </w:r>
          </w:p>
        </w:tc>
      </w:tr>
      <w:tr>
        <w:tc>
          <w:tcPr>
            <w:tcW w:type="dxa" w:w="1900"/>
            <w:vAlign w:val="center"/>
          </w:tcPr>
          <w:p>
            <w:pPr>
              <w:jc w:val="left"/>
            </w:pPr>
            <w:r>
              <w:rPr>
                <w:sz w:val="19"/>
              </w:rPr>
              <w:t>bicycle</w:t>
            </w:r>
          </w:p>
        </w:tc>
        <w:tc>
          <w:tcPr>
            <w:tcW w:type="dxa" w:w="1150"/>
            <w:vAlign w:val="center"/>
          </w:tcPr>
          <w:p>
            <w:pPr>
              <w:jc w:val="center"/>
            </w:pPr>
            <w:r>
              <w:rPr>
                <w:sz w:val="19"/>
              </w:rPr>
              <w:t>364</w:t>
            </w:r>
          </w:p>
        </w:tc>
        <w:tc>
          <w:tcPr>
            <w:tcW w:type="dxa" w:w="1350"/>
            <w:vAlign w:val="center"/>
          </w:tcPr>
          <w:p>
            <w:pPr>
              <w:jc w:val="center"/>
            </w:pPr>
            <w:r>
              <w:rPr>
                <w:sz w:val="19"/>
              </w:rPr>
              <w:t>1287</w:t>
            </w:r>
          </w:p>
        </w:tc>
        <w:tc>
          <w:tcPr>
            <w:tcW w:type="dxa" w:w="1100"/>
            <w:vAlign w:val="center"/>
          </w:tcPr>
          <w:p>
            <w:pPr>
              <w:jc w:val="center"/>
            </w:pPr>
            <w:r>
              <w:rPr>
                <w:sz w:val="19"/>
              </w:rPr>
              <w:t>0.428</w:t>
            </w:r>
          </w:p>
        </w:tc>
        <w:tc>
          <w:tcPr>
            <w:tcW w:type="dxa" w:w="1100"/>
            <w:vAlign w:val="center"/>
          </w:tcPr>
          <w:p>
            <w:pPr>
              <w:jc w:val="center"/>
            </w:pPr>
            <w:r>
              <w:rPr>
                <w:sz w:val="19"/>
              </w:rPr>
              <w:t>0.296</w:t>
            </w:r>
          </w:p>
        </w:tc>
        <w:tc>
          <w:tcPr>
            <w:tcW w:type="dxa" w:w="1300"/>
            <w:vAlign w:val="center"/>
          </w:tcPr>
          <w:p>
            <w:pPr>
              <w:jc w:val="center"/>
            </w:pPr>
            <w:r>
              <w:rPr>
                <w:sz w:val="19"/>
              </w:rPr>
              <w:t>0.277</w:t>
            </w:r>
          </w:p>
        </w:tc>
        <w:tc>
          <w:tcPr>
            <w:tcW w:type="dxa" w:w="1460"/>
            <w:vAlign w:val="center"/>
          </w:tcPr>
          <w:p>
            <w:pPr>
              <w:jc w:val="center"/>
            </w:pPr>
            <w:r>
              <w:rPr>
                <w:sz w:val="19"/>
              </w:rPr>
              <w:t>0.123</w:t>
            </w:r>
          </w:p>
        </w:tc>
      </w:tr>
      <w:tr>
        <w:tc>
          <w:tcPr>
            <w:tcW w:type="dxa" w:w="1900"/>
            <w:vAlign w:val="center"/>
          </w:tcPr>
          <w:p>
            <w:pPr>
              <w:jc w:val="left"/>
            </w:pPr>
            <w:r>
              <w:rPr>
                <w:sz w:val="19"/>
              </w:rPr>
              <w:t>car</w:t>
            </w:r>
          </w:p>
        </w:tc>
        <w:tc>
          <w:tcPr>
            <w:tcW w:type="dxa" w:w="1150"/>
            <w:vAlign w:val="center"/>
          </w:tcPr>
          <w:p>
            <w:pPr>
              <w:jc w:val="center"/>
            </w:pPr>
            <w:r>
              <w:rPr>
                <w:sz w:val="19"/>
              </w:rPr>
              <w:t>515</w:t>
            </w:r>
          </w:p>
        </w:tc>
        <w:tc>
          <w:tcPr>
            <w:tcW w:type="dxa" w:w="1350"/>
            <w:vAlign w:val="center"/>
          </w:tcPr>
          <w:p>
            <w:pPr>
              <w:jc w:val="center"/>
            </w:pPr>
            <w:r>
              <w:rPr>
                <w:sz w:val="19"/>
              </w:rPr>
              <w:t>14064</w:t>
            </w:r>
          </w:p>
        </w:tc>
        <w:tc>
          <w:tcPr>
            <w:tcW w:type="dxa" w:w="1100"/>
            <w:vAlign w:val="center"/>
          </w:tcPr>
          <w:p>
            <w:pPr>
              <w:jc w:val="center"/>
            </w:pPr>
            <w:r>
              <w:rPr>
                <w:sz w:val="19"/>
              </w:rPr>
              <w:t>0.816</w:t>
            </w:r>
          </w:p>
        </w:tc>
        <w:tc>
          <w:tcPr>
            <w:tcW w:type="dxa" w:w="1100"/>
            <w:vAlign w:val="center"/>
          </w:tcPr>
          <w:p>
            <w:pPr>
              <w:jc w:val="center"/>
            </w:pPr>
            <w:r>
              <w:rPr>
                <w:sz w:val="19"/>
              </w:rPr>
              <w:t>0.828</w:t>
            </w:r>
          </w:p>
        </w:tc>
        <w:tc>
          <w:tcPr>
            <w:tcW w:type="dxa" w:w="1300"/>
            <w:vAlign w:val="center"/>
          </w:tcPr>
          <w:p>
            <w:pPr>
              <w:jc w:val="center"/>
            </w:pPr>
            <w:r>
              <w:rPr>
                <w:sz w:val="19"/>
              </w:rPr>
              <w:t>0.842</w:t>
            </w:r>
          </w:p>
        </w:tc>
        <w:tc>
          <w:tcPr>
            <w:tcW w:type="dxa" w:w="1460"/>
            <w:vAlign w:val="center"/>
          </w:tcPr>
          <w:p>
            <w:pPr>
              <w:jc w:val="center"/>
            </w:pPr>
            <w:r>
              <w:rPr>
                <w:sz w:val="19"/>
              </w:rPr>
              <w:t>0.579</w:t>
            </w:r>
          </w:p>
        </w:tc>
      </w:tr>
      <w:tr>
        <w:tc>
          <w:tcPr>
            <w:tcW w:type="dxa" w:w="1900"/>
            <w:vAlign w:val="center"/>
          </w:tcPr>
          <w:p>
            <w:pPr>
              <w:jc w:val="left"/>
            </w:pPr>
            <w:r>
              <w:rPr>
                <w:sz w:val="19"/>
              </w:rPr>
              <w:t>van</w:t>
            </w:r>
          </w:p>
        </w:tc>
        <w:tc>
          <w:tcPr>
            <w:tcW w:type="dxa" w:w="1150"/>
            <w:vAlign w:val="center"/>
          </w:tcPr>
          <w:p>
            <w:pPr>
              <w:jc w:val="center"/>
            </w:pPr>
            <w:r>
              <w:rPr>
                <w:sz w:val="19"/>
              </w:rPr>
              <w:t>421</w:t>
            </w:r>
          </w:p>
        </w:tc>
        <w:tc>
          <w:tcPr>
            <w:tcW w:type="dxa" w:w="1350"/>
            <w:vAlign w:val="center"/>
          </w:tcPr>
          <w:p>
            <w:pPr>
              <w:jc w:val="center"/>
            </w:pPr>
            <w:r>
              <w:rPr>
                <w:sz w:val="19"/>
              </w:rPr>
              <w:t>1975</w:t>
            </w:r>
          </w:p>
        </w:tc>
        <w:tc>
          <w:tcPr>
            <w:tcW w:type="dxa" w:w="1100"/>
            <w:vAlign w:val="center"/>
          </w:tcPr>
          <w:p>
            <w:pPr>
              <w:jc w:val="center"/>
            </w:pPr>
            <w:r>
              <w:rPr>
                <w:sz w:val="19"/>
              </w:rPr>
              <w:t>0.587</w:t>
            </w:r>
          </w:p>
        </w:tc>
        <w:tc>
          <w:tcPr>
            <w:tcW w:type="dxa" w:w="1100"/>
            <w:vAlign w:val="center"/>
          </w:tcPr>
          <w:p>
            <w:pPr>
              <w:jc w:val="center"/>
            </w:pPr>
            <w:r>
              <w:rPr>
                <w:sz w:val="19"/>
              </w:rPr>
              <w:t>0.532</w:t>
            </w:r>
          </w:p>
        </w:tc>
        <w:tc>
          <w:tcPr>
            <w:tcW w:type="dxa" w:w="1300"/>
            <w:vAlign w:val="center"/>
          </w:tcPr>
          <w:p>
            <w:pPr>
              <w:jc w:val="center"/>
            </w:pPr>
            <w:r>
              <w:rPr>
                <w:sz w:val="19"/>
              </w:rPr>
              <w:t>0.523</w:t>
            </w:r>
          </w:p>
        </w:tc>
        <w:tc>
          <w:tcPr>
            <w:tcW w:type="dxa" w:w="1460"/>
            <w:vAlign w:val="center"/>
          </w:tcPr>
          <w:p>
            <w:pPr>
              <w:jc w:val="center"/>
            </w:pPr>
            <w:r>
              <w:rPr>
                <w:sz w:val="19"/>
              </w:rPr>
              <w:t>0.359</w:t>
            </w:r>
          </w:p>
        </w:tc>
      </w:tr>
      <w:tr>
        <w:tc>
          <w:tcPr>
            <w:tcW w:type="dxa" w:w="1900"/>
            <w:vAlign w:val="center"/>
          </w:tcPr>
          <w:p>
            <w:pPr>
              <w:jc w:val="left"/>
            </w:pPr>
            <w:r>
              <w:rPr>
                <w:sz w:val="19"/>
              </w:rPr>
              <w:t>truck</w:t>
            </w:r>
          </w:p>
        </w:tc>
        <w:tc>
          <w:tcPr>
            <w:tcW w:type="dxa" w:w="1150"/>
            <w:vAlign w:val="center"/>
          </w:tcPr>
          <w:p>
            <w:pPr>
              <w:jc w:val="center"/>
            </w:pPr>
            <w:r>
              <w:rPr>
                <w:sz w:val="19"/>
              </w:rPr>
              <w:t>266</w:t>
            </w:r>
          </w:p>
        </w:tc>
        <w:tc>
          <w:tcPr>
            <w:tcW w:type="dxa" w:w="1350"/>
            <w:vAlign w:val="center"/>
          </w:tcPr>
          <w:p>
            <w:pPr>
              <w:jc w:val="center"/>
            </w:pPr>
            <w:r>
              <w:rPr>
                <w:sz w:val="19"/>
              </w:rPr>
              <w:t>750</w:t>
            </w:r>
          </w:p>
        </w:tc>
        <w:tc>
          <w:tcPr>
            <w:tcW w:type="dxa" w:w="1100"/>
            <w:vAlign w:val="center"/>
          </w:tcPr>
          <w:p>
            <w:pPr>
              <w:jc w:val="center"/>
            </w:pPr>
            <w:r>
              <w:rPr>
                <w:sz w:val="19"/>
              </w:rPr>
              <w:t>0.595</w:t>
            </w:r>
          </w:p>
        </w:tc>
        <w:tc>
          <w:tcPr>
            <w:tcW w:type="dxa" w:w="1100"/>
            <w:vAlign w:val="center"/>
          </w:tcPr>
          <w:p>
            <w:pPr>
              <w:jc w:val="center"/>
            </w:pPr>
            <w:r>
              <w:rPr>
                <w:sz w:val="19"/>
              </w:rPr>
              <w:t>0.453</w:t>
            </w:r>
          </w:p>
        </w:tc>
        <w:tc>
          <w:tcPr>
            <w:tcW w:type="dxa" w:w="1300"/>
            <w:vAlign w:val="center"/>
          </w:tcPr>
          <w:p>
            <w:pPr>
              <w:jc w:val="center"/>
            </w:pPr>
            <w:r>
              <w:rPr>
                <w:sz w:val="19"/>
              </w:rPr>
              <w:t>0.455</w:t>
            </w:r>
          </w:p>
        </w:tc>
        <w:tc>
          <w:tcPr>
            <w:tcW w:type="dxa" w:w="1460"/>
            <w:vAlign w:val="center"/>
          </w:tcPr>
          <w:p>
            <w:pPr>
              <w:jc w:val="center"/>
            </w:pPr>
            <w:r>
              <w:rPr>
                <w:sz w:val="19"/>
              </w:rPr>
              <w:t>0.296</w:t>
            </w:r>
          </w:p>
        </w:tc>
      </w:tr>
      <w:tr>
        <w:tc>
          <w:tcPr>
            <w:tcW w:type="dxa" w:w="1900"/>
            <w:vAlign w:val="center"/>
          </w:tcPr>
          <w:p>
            <w:pPr>
              <w:jc w:val="left"/>
            </w:pPr>
            <w:r>
              <w:rPr>
                <w:sz w:val="19"/>
              </w:rPr>
              <w:t>tricycle</w:t>
            </w:r>
          </w:p>
        </w:tc>
        <w:tc>
          <w:tcPr>
            <w:tcW w:type="dxa" w:w="1150"/>
            <w:vAlign w:val="center"/>
          </w:tcPr>
          <w:p>
            <w:pPr>
              <w:jc w:val="center"/>
            </w:pPr>
            <w:r>
              <w:rPr>
                <w:sz w:val="19"/>
              </w:rPr>
              <w:t>337</w:t>
            </w:r>
          </w:p>
        </w:tc>
        <w:tc>
          <w:tcPr>
            <w:tcW w:type="dxa" w:w="1350"/>
            <w:vAlign w:val="center"/>
          </w:tcPr>
          <w:p>
            <w:pPr>
              <w:jc w:val="center"/>
            </w:pPr>
            <w:r>
              <w:rPr>
                <w:sz w:val="19"/>
              </w:rPr>
              <w:t>1045</w:t>
            </w:r>
          </w:p>
        </w:tc>
        <w:tc>
          <w:tcPr>
            <w:tcW w:type="dxa" w:w="1100"/>
            <w:vAlign w:val="center"/>
          </w:tcPr>
          <w:p>
            <w:pPr>
              <w:jc w:val="center"/>
            </w:pPr>
            <w:r>
              <w:rPr>
                <w:sz w:val="19"/>
              </w:rPr>
              <w:t>0.503</w:t>
            </w:r>
          </w:p>
        </w:tc>
        <w:tc>
          <w:tcPr>
            <w:tcW w:type="dxa" w:w="1100"/>
            <w:vAlign w:val="center"/>
          </w:tcPr>
          <w:p>
            <w:pPr>
              <w:jc w:val="center"/>
            </w:pPr>
            <w:r>
              <w:rPr>
                <w:sz w:val="19"/>
              </w:rPr>
              <w:t>0.415</w:t>
            </w:r>
          </w:p>
        </w:tc>
        <w:tc>
          <w:tcPr>
            <w:tcW w:type="dxa" w:w="1300"/>
            <w:vAlign w:val="center"/>
          </w:tcPr>
          <w:p>
            <w:pPr>
              <w:jc w:val="center"/>
            </w:pPr>
            <w:r>
              <w:rPr>
                <w:sz w:val="19"/>
              </w:rPr>
              <w:t>0.383</w:t>
            </w:r>
          </w:p>
        </w:tc>
        <w:tc>
          <w:tcPr>
            <w:tcW w:type="dxa" w:w="1460"/>
            <w:vAlign w:val="center"/>
          </w:tcPr>
          <w:p>
            <w:pPr>
              <w:jc w:val="center"/>
            </w:pPr>
            <w:r>
              <w:rPr>
                <w:sz w:val="19"/>
              </w:rPr>
              <w:t>0.208</w:t>
            </w:r>
          </w:p>
        </w:tc>
      </w:tr>
      <w:tr>
        <w:tc>
          <w:tcPr>
            <w:tcW w:type="dxa" w:w="1900"/>
            <w:vAlign w:val="center"/>
          </w:tcPr>
          <w:p>
            <w:pPr>
              <w:jc w:val="left"/>
            </w:pPr>
            <w:r>
              <w:rPr>
                <w:sz w:val="19"/>
              </w:rPr>
              <w:t>awning-tricycle</w:t>
            </w:r>
          </w:p>
        </w:tc>
        <w:tc>
          <w:tcPr>
            <w:tcW w:type="dxa" w:w="1150"/>
            <w:vAlign w:val="center"/>
          </w:tcPr>
          <w:p>
            <w:pPr>
              <w:jc w:val="center"/>
            </w:pPr>
            <w:r>
              <w:rPr>
                <w:sz w:val="19"/>
              </w:rPr>
              <w:t>220</w:t>
            </w:r>
          </w:p>
        </w:tc>
        <w:tc>
          <w:tcPr>
            <w:tcW w:type="dxa" w:w="1350"/>
            <w:vAlign w:val="center"/>
          </w:tcPr>
          <w:p>
            <w:pPr>
              <w:jc w:val="center"/>
            </w:pPr>
            <w:r>
              <w:rPr>
                <w:sz w:val="19"/>
              </w:rPr>
              <w:t>532</w:t>
            </w:r>
          </w:p>
        </w:tc>
        <w:tc>
          <w:tcPr>
            <w:tcW w:type="dxa" w:w="1100"/>
            <w:vAlign w:val="center"/>
          </w:tcPr>
          <w:p>
            <w:pPr>
              <w:jc w:val="center"/>
            </w:pPr>
            <w:r>
              <w:rPr>
                <w:sz w:val="19"/>
              </w:rPr>
              <w:t>0.329</w:t>
            </w:r>
          </w:p>
        </w:tc>
        <w:tc>
          <w:tcPr>
            <w:tcW w:type="dxa" w:w="1100"/>
            <w:vAlign w:val="center"/>
          </w:tcPr>
          <w:p>
            <w:pPr>
              <w:jc w:val="center"/>
            </w:pPr>
            <w:r>
              <w:rPr>
                <w:sz w:val="19"/>
              </w:rPr>
              <w:t>0.239</w:t>
            </w:r>
          </w:p>
        </w:tc>
        <w:tc>
          <w:tcPr>
            <w:tcW w:type="dxa" w:w="1300"/>
            <w:vAlign w:val="center"/>
          </w:tcPr>
          <w:p>
            <w:pPr>
              <w:jc w:val="center"/>
            </w:pPr>
            <w:r>
              <w:rPr>
                <w:sz w:val="19"/>
              </w:rPr>
              <w:t>0.167</w:t>
            </w:r>
          </w:p>
        </w:tc>
        <w:tc>
          <w:tcPr>
            <w:tcW w:type="dxa" w:w="1460"/>
            <w:vAlign w:val="center"/>
          </w:tcPr>
          <w:p>
            <w:pPr>
              <w:jc w:val="center"/>
            </w:pPr>
            <w:r>
              <w:rPr>
                <w:sz w:val="19"/>
              </w:rPr>
              <w:t>0.0979</w:t>
            </w:r>
          </w:p>
        </w:tc>
      </w:tr>
      <w:tr>
        <w:tc>
          <w:tcPr>
            <w:tcW w:type="dxa" w:w="1900"/>
            <w:vAlign w:val="center"/>
          </w:tcPr>
          <w:p>
            <w:pPr>
              <w:jc w:val="left"/>
            </w:pPr>
            <w:r>
              <w:rPr>
                <w:sz w:val="19"/>
              </w:rPr>
              <w:t>bus</w:t>
            </w:r>
          </w:p>
        </w:tc>
        <w:tc>
          <w:tcPr>
            <w:tcW w:type="dxa" w:w="1150"/>
            <w:vAlign w:val="center"/>
          </w:tcPr>
          <w:p>
            <w:pPr>
              <w:jc w:val="center"/>
            </w:pPr>
            <w:r>
              <w:rPr>
                <w:sz w:val="19"/>
              </w:rPr>
              <w:t>131</w:t>
            </w:r>
          </w:p>
        </w:tc>
        <w:tc>
          <w:tcPr>
            <w:tcW w:type="dxa" w:w="1350"/>
            <w:vAlign w:val="center"/>
          </w:tcPr>
          <w:p>
            <w:pPr>
              <w:jc w:val="center"/>
            </w:pPr>
            <w:r>
              <w:rPr>
                <w:sz w:val="19"/>
              </w:rPr>
              <w:t>251</w:t>
            </w:r>
          </w:p>
        </w:tc>
        <w:tc>
          <w:tcPr>
            <w:tcW w:type="dxa" w:w="1100"/>
            <w:vAlign w:val="center"/>
          </w:tcPr>
          <w:p>
            <w:pPr>
              <w:jc w:val="center"/>
            </w:pPr>
            <w:r>
              <w:rPr>
                <w:sz w:val="19"/>
              </w:rPr>
              <w:t>0.779</w:t>
            </w:r>
          </w:p>
        </w:tc>
        <w:tc>
          <w:tcPr>
            <w:tcW w:type="dxa" w:w="1100"/>
            <w:vAlign w:val="center"/>
          </w:tcPr>
          <w:p>
            <w:pPr>
              <w:jc w:val="center"/>
            </w:pPr>
            <w:r>
              <w:rPr>
                <w:sz w:val="19"/>
              </w:rPr>
              <w:t>0.574</w:t>
            </w:r>
          </w:p>
        </w:tc>
        <w:tc>
          <w:tcPr>
            <w:tcW w:type="dxa" w:w="1300"/>
            <w:vAlign w:val="center"/>
          </w:tcPr>
          <w:p>
            <w:pPr>
              <w:jc w:val="center"/>
            </w:pPr>
            <w:r>
              <w:rPr>
                <w:sz w:val="19"/>
              </w:rPr>
              <w:t>0.640</w:t>
            </w:r>
          </w:p>
        </w:tc>
        <w:tc>
          <w:tcPr>
            <w:tcW w:type="dxa" w:w="1460"/>
            <w:vAlign w:val="center"/>
          </w:tcPr>
          <w:p>
            <w:pPr>
              <w:jc w:val="center"/>
            </w:pPr>
            <w:r>
              <w:rPr>
                <w:sz w:val="19"/>
              </w:rPr>
              <w:t>0.456</w:t>
            </w:r>
          </w:p>
        </w:tc>
      </w:tr>
      <w:tr>
        <w:tc>
          <w:tcPr>
            <w:tcW w:type="dxa" w:w="1900"/>
            <w:vAlign w:val="center"/>
          </w:tcPr>
          <w:p>
            <w:pPr>
              <w:jc w:val="left"/>
            </w:pPr>
            <w:r>
              <w:rPr>
                <w:sz w:val="19"/>
              </w:rPr>
              <w:t>motor</w:t>
            </w:r>
          </w:p>
        </w:tc>
        <w:tc>
          <w:tcPr>
            <w:tcW w:type="dxa" w:w="1150"/>
            <w:vAlign w:val="center"/>
          </w:tcPr>
          <w:p>
            <w:pPr>
              <w:jc w:val="center"/>
            </w:pPr>
            <w:r>
              <w:rPr>
                <w:sz w:val="19"/>
              </w:rPr>
              <w:t>485</w:t>
            </w:r>
          </w:p>
        </w:tc>
        <w:tc>
          <w:tcPr>
            <w:tcW w:type="dxa" w:w="1350"/>
            <w:vAlign w:val="center"/>
          </w:tcPr>
          <w:p>
            <w:pPr>
              <w:jc w:val="center"/>
            </w:pPr>
            <w:r>
              <w:rPr>
                <w:sz w:val="19"/>
              </w:rPr>
              <w:t>4886</w:t>
            </w:r>
          </w:p>
        </w:tc>
        <w:tc>
          <w:tcPr>
            <w:tcW w:type="dxa" w:w="1100"/>
            <w:vAlign w:val="center"/>
          </w:tcPr>
          <w:p>
            <w:pPr>
              <w:jc w:val="center"/>
            </w:pPr>
            <w:r>
              <w:rPr>
                <w:sz w:val="19"/>
              </w:rPr>
              <w:t>0.656</w:t>
            </w:r>
          </w:p>
        </w:tc>
        <w:tc>
          <w:tcPr>
            <w:tcW w:type="dxa" w:w="1100"/>
            <w:vAlign w:val="center"/>
          </w:tcPr>
          <w:p>
            <w:pPr>
              <w:jc w:val="center"/>
            </w:pPr>
            <w:r>
              <w:rPr>
                <w:sz w:val="19"/>
              </w:rPr>
              <w:t>0.573</w:t>
            </w:r>
          </w:p>
        </w:tc>
        <w:tc>
          <w:tcPr>
            <w:tcW w:type="dxa" w:w="1300"/>
            <w:vAlign w:val="center"/>
          </w:tcPr>
          <w:p>
            <w:pPr>
              <w:jc w:val="center"/>
            </w:pPr>
            <w:r>
              <w:rPr>
                <w:sz w:val="19"/>
              </w:rPr>
              <w:t>0.585</w:t>
            </w:r>
          </w:p>
        </w:tc>
        <w:tc>
          <w:tcPr>
            <w:tcW w:type="dxa" w:w="1460"/>
            <w:vAlign w:val="center"/>
          </w:tcPr>
          <w:p>
            <w:pPr>
              <w:jc w:val="center"/>
            </w:pPr>
            <w:r>
              <w:rPr>
                <w:sz w:val="19"/>
              </w:rPr>
              <w:t>0.264</w:t>
            </w:r>
          </w:p>
        </w:tc>
      </w:tr>
    </w:tbl>
    <w:p>
      <w:pPr/>
      <w:r>
        <w:t>分类别结果表明，模型对 car 类检测效果最好，mAP50 达到 0.842，mAP50-95 达到 0.579；bus 类检测效果也相对较好。这说明模型对外观特征明显、尺度较大的车辆类目标具有较强检测能力。相比之下，bicycle、tricycle 和 awning-tricycle 等类别检测效果较差，主要原因是这些类别目标尺度较小、形态变化大，且容易与背景或其他交通目标混淆。</w:t>
      </w:r>
    </w:p>
    <w:p>
      <w:pPr>
        <w:pStyle w:val="Heading1"/>
      </w:pPr>
      <w:r>
        <w:t>六、与原始 YOLOv8s 的对比</w:t>
      </w:r>
    </w:p>
    <w:tbl>
      <w:tblPr>
        <w:tblStyle w:val="TableGrid"/>
        <w:tblW w:type="dxa" w:w="9360"/>
        <w:tblLayout w:type="fixed"/>
        <w:tblLook w:firstColumn="1" w:firstRow="1" w:lastColumn="0" w:lastRow="0" w:noHBand="0" w:noVBand="1" w:val="04A0"/>
        <w:tblInd w:w="120" w:type="dxa"/>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CellMar>
          <w:top w:w="80" w:type="dxa"/>
          <w:start w:w="120" w:type="dxa"/>
          <w:bottom w:w="80" w:type="dxa"/>
          <w:end w:w="120" w:type="dxa"/>
        </w:tblCellMar>
      </w:tblPr>
      <w:tblGrid>
        <w:gridCol w:w="2100"/>
        <w:gridCol w:w="1200"/>
        <w:gridCol w:w="1200"/>
        <w:gridCol w:w="1200"/>
        <w:gridCol w:w="1350"/>
        <w:gridCol w:w="1200"/>
        <w:gridCol w:w="1110"/>
      </w:tblGrid>
      <w:tr>
        <w:tc>
          <w:tcPr>
            <w:tcW w:type="dxa" w:w="2100"/>
            <w:shd w:fill="F2F4F7"/>
            <w:vAlign w:val="center"/>
          </w:tcPr>
          <w:p>
            <w:pPr>
              <w:jc w:val="center"/>
            </w:pPr>
            <w:r>
              <w:rPr>
                <w:b/>
                <w:sz w:val="19"/>
              </w:rPr>
              <w:t>模型</w:t>
            </w:r>
          </w:p>
        </w:tc>
        <w:tc>
          <w:tcPr>
            <w:tcW w:type="dxa" w:w="1200"/>
            <w:shd w:fill="F2F4F7"/>
            <w:vAlign w:val="center"/>
          </w:tcPr>
          <w:p>
            <w:pPr>
              <w:jc w:val="center"/>
            </w:pPr>
            <w:r>
              <w:rPr>
                <w:b/>
                <w:sz w:val="19"/>
              </w:rPr>
              <w:t>Precision</w:t>
            </w:r>
          </w:p>
        </w:tc>
        <w:tc>
          <w:tcPr>
            <w:tcW w:type="dxa" w:w="1200"/>
            <w:shd w:fill="F2F4F7"/>
            <w:vAlign w:val="center"/>
          </w:tcPr>
          <w:p>
            <w:pPr>
              <w:jc w:val="center"/>
            </w:pPr>
            <w:r>
              <w:rPr>
                <w:b/>
                <w:sz w:val="19"/>
              </w:rPr>
              <w:t>Recall</w:t>
            </w:r>
          </w:p>
        </w:tc>
        <w:tc>
          <w:tcPr>
            <w:tcW w:type="dxa" w:w="1200"/>
            <w:shd w:fill="F2F4F7"/>
            <w:vAlign w:val="center"/>
          </w:tcPr>
          <w:p>
            <w:pPr>
              <w:jc w:val="center"/>
            </w:pPr>
            <w:r>
              <w:rPr>
                <w:b/>
                <w:sz w:val="19"/>
              </w:rPr>
              <w:t>mAP50</w:t>
            </w:r>
          </w:p>
        </w:tc>
        <w:tc>
          <w:tcPr>
            <w:tcW w:type="dxa" w:w="1350"/>
            <w:shd w:fill="F2F4F7"/>
            <w:vAlign w:val="center"/>
          </w:tcPr>
          <w:p>
            <w:pPr>
              <w:jc w:val="center"/>
            </w:pPr>
            <w:r>
              <w:rPr>
                <w:b/>
                <w:sz w:val="19"/>
              </w:rPr>
              <w:t>mAP50-95</w:t>
            </w:r>
          </w:p>
        </w:tc>
        <w:tc>
          <w:tcPr>
            <w:tcW w:type="dxa" w:w="1200"/>
            <w:shd w:fill="F2F4F7"/>
            <w:vAlign w:val="center"/>
          </w:tcPr>
          <w:p>
            <w:pPr>
              <w:jc w:val="center"/>
            </w:pPr>
            <w:r>
              <w:rPr>
                <w:b/>
                <w:sz w:val="19"/>
              </w:rPr>
              <w:t>参数量</w:t>
            </w:r>
          </w:p>
        </w:tc>
        <w:tc>
          <w:tcPr>
            <w:tcW w:type="dxa" w:w="1110"/>
            <w:shd w:fill="F2F4F7"/>
            <w:vAlign w:val="center"/>
          </w:tcPr>
          <w:p>
            <w:pPr>
              <w:jc w:val="center"/>
            </w:pPr>
            <w:r>
              <w:rPr>
                <w:b/>
                <w:sz w:val="19"/>
              </w:rPr>
              <w:t>GFLOPs</w:t>
            </w:r>
          </w:p>
        </w:tc>
      </w:tr>
      <w:tr>
        <w:tc>
          <w:tcPr>
            <w:tcW w:type="dxa" w:w="2100"/>
            <w:vAlign w:val="center"/>
          </w:tcPr>
          <w:p>
            <w:pPr>
              <w:jc w:val="left"/>
            </w:pPr>
            <w:r>
              <w:rPr>
                <w:sz w:val="19"/>
              </w:rPr>
              <w:t>原始 YOLOv8s</w:t>
            </w:r>
          </w:p>
        </w:tc>
        <w:tc>
          <w:tcPr>
            <w:tcW w:type="dxa" w:w="1200"/>
            <w:vAlign w:val="center"/>
          </w:tcPr>
          <w:p>
            <w:pPr>
              <w:jc w:val="center"/>
            </w:pPr>
            <w:r>
              <w:rPr>
                <w:sz w:val="19"/>
              </w:rPr>
              <w:t>0.597</w:t>
            </w:r>
          </w:p>
        </w:tc>
        <w:tc>
          <w:tcPr>
            <w:tcW w:type="dxa" w:w="1200"/>
            <w:vAlign w:val="center"/>
          </w:tcPr>
          <w:p>
            <w:pPr>
              <w:jc w:val="center"/>
            </w:pPr>
            <w:r>
              <w:rPr>
                <w:sz w:val="19"/>
              </w:rPr>
              <w:t>0.470</w:t>
            </w:r>
          </w:p>
        </w:tc>
        <w:tc>
          <w:tcPr>
            <w:tcW w:type="dxa" w:w="1200"/>
            <w:vAlign w:val="center"/>
          </w:tcPr>
          <w:p>
            <w:pPr>
              <w:jc w:val="center"/>
            </w:pPr>
            <w:r>
              <w:rPr>
                <w:sz w:val="19"/>
              </w:rPr>
              <w:t>0.476</w:t>
            </w:r>
          </w:p>
        </w:tc>
        <w:tc>
          <w:tcPr>
            <w:tcW w:type="dxa" w:w="1350"/>
            <w:vAlign w:val="center"/>
          </w:tcPr>
          <w:p>
            <w:pPr>
              <w:jc w:val="center"/>
            </w:pPr>
            <w:r>
              <w:rPr>
                <w:sz w:val="19"/>
              </w:rPr>
              <w:t>0.288</w:t>
            </w:r>
          </w:p>
        </w:tc>
        <w:tc>
          <w:tcPr>
            <w:tcW w:type="dxa" w:w="1200"/>
            <w:vAlign w:val="center"/>
          </w:tcPr>
          <w:p>
            <w:pPr>
              <w:jc w:val="center"/>
            </w:pPr>
            <w:r>
              <w:rPr>
                <w:sz w:val="19"/>
              </w:rPr>
              <w:t>11.13M</w:t>
            </w:r>
          </w:p>
        </w:tc>
        <w:tc>
          <w:tcPr>
            <w:tcW w:type="dxa" w:w="1110"/>
            <w:vAlign w:val="center"/>
          </w:tcPr>
          <w:p>
            <w:pPr>
              <w:jc w:val="center"/>
            </w:pPr>
            <w:r>
              <w:rPr>
                <w:sz w:val="19"/>
              </w:rPr>
              <w:t>28.5</w:t>
            </w:r>
          </w:p>
        </w:tc>
      </w:tr>
      <w:tr>
        <w:tc>
          <w:tcPr>
            <w:tcW w:type="dxa" w:w="2100"/>
            <w:vAlign w:val="center"/>
          </w:tcPr>
          <w:p>
            <w:pPr>
              <w:jc w:val="left"/>
            </w:pPr>
            <w:r>
              <w:rPr>
                <w:sz w:val="19"/>
              </w:rPr>
              <w:t>改进 LUD-YOLOv8s</w:t>
            </w:r>
          </w:p>
        </w:tc>
        <w:tc>
          <w:tcPr>
            <w:tcW w:type="dxa" w:w="1200"/>
            <w:vAlign w:val="center"/>
          </w:tcPr>
          <w:p>
            <w:pPr>
              <w:jc w:val="center"/>
            </w:pPr>
            <w:r>
              <w:rPr>
                <w:sz w:val="19"/>
              </w:rPr>
              <w:t>0.601</w:t>
            </w:r>
          </w:p>
        </w:tc>
        <w:tc>
          <w:tcPr>
            <w:tcW w:type="dxa" w:w="1200"/>
            <w:vAlign w:val="center"/>
          </w:tcPr>
          <w:p>
            <w:pPr>
              <w:jc w:val="center"/>
            </w:pPr>
            <w:r>
              <w:rPr>
                <w:sz w:val="19"/>
              </w:rPr>
              <w:t>0.486</w:t>
            </w:r>
          </w:p>
        </w:tc>
        <w:tc>
          <w:tcPr>
            <w:tcW w:type="dxa" w:w="1200"/>
            <w:vAlign w:val="center"/>
          </w:tcPr>
          <w:p>
            <w:pPr>
              <w:jc w:val="center"/>
            </w:pPr>
            <w:r>
              <w:rPr>
                <w:sz w:val="19"/>
              </w:rPr>
              <w:t>0.488</w:t>
            </w:r>
          </w:p>
        </w:tc>
        <w:tc>
          <w:tcPr>
            <w:tcW w:type="dxa" w:w="1350"/>
            <w:vAlign w:val="center"/>
          </w:tcPr>
          <w:p>
            <w:pPr>
              <w:jc w:val="center"/>
            </w:pPr>
            <w:r>
              <w:rPr>
                <w:sz w:val="19"/>
              </w:rPr>
              <w:t>0.280</w:t>
            </w:r>
          </w:p>
        </w:tc>
        <w:tc>
          <w:tcPr>
            <w:tcW w:type="dxa" w:w="1200"/>
            <w:vAlign w:val="center"/>
          </w:tcPr>
          <w:p>
            <w:pPr>
              <w:jc w:val="center"/>
            </w:pPr>
            <w:r>
              <w:rPr>
                <w:sz w:val="19"/>
              </w:rPr>
              <w:t>17.31M</w:t>
            </w:r>
          </w:p>
        </w:tc>
        <w:tc>
          <w:tcPr>
            <w:tcW w:type="dxa" w:w="1110"/>
            <w:vAlign w:val="center"/>
          </w:tcPr>
          <w:p>
            <w:pPr>
              <w:jc w:val="center"/>
            </w:pPr>
            <w:r>
              <w:rPr>
                <w:sz w:val="19"/>
              </w:rPr>
              <w:t>42.1</w:t>
            </w:r>
          </w:p>
        </w:tc>
      </w:tr>
    </w:tbl>
    <w:p>
      <w:pPr/>
      <w:r>
        <w:t>与原始 YOLOv8s 相比，改进模型的 Precision 从 0.597 提升到 0.601，Recall 从 0.470 提升到 0.486，mAP50 从 0.476 提升到 0.488，说明引入 C2fBRA 和 ASFF3 后，模型对目标的检出能力有一定增强。但 mAP50-95 从 0.288 下降到 0.280，说明模型在更严格 IoU 阈值下的定位精度略有不足。同时，改进模型参数量和计算量明显增加，后续仍需要在精度提升和模型复杂度之间进一步平衡。</w:t>
      </w:r>
    </w:p>
    <w:p>
      <w:pPr>
        <w:pStyle w:val="Heading1"/>
      </w:pPr>
      <w:r>
        <w:t>七、结论与后续计划</w:t>
      </w:r>
    </w:p>
    <w:p>
      <w:pPr/>
      <w:r>
        <w:t>本实验基于 YOLOv8s 构建了改进的 LUD-YOLOv8s 模型，并在 VisDrone 数据集上完成训练与验证。实验结果表明，改进模型在 Precision、Recall 和 mAP50 指标上相比原始 YOLOv8s 有小幅提升，说明注意力增强模块和自适应特征融合模块对提升目标检出能力具有一定作用。</w:t>
      </w:r>
    </w:p>
    <w:p>
      <w:pPr/>
      <w:r>
        <w:t>但从综合指标来看，改进模型的 mAP50-95 略低于原始 YOLOv8s，且模型参数量和计算量增加较多。因此，后续工作可以从以下方面继续优化：一是调整优化器和学习率策略，使训练参数更充分发挥作用；二是分别对 C2fBRA 和 ASFF3 进行消融实验，分析各模块的实际贡献；三是进一步优化检测头结构和损失权重，提高检测框定位精度，尤其是对小目标和遮挡目标的检测效果。</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十四周实验进展报告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Sim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