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color w:val="0F172A"/>
          <w:sz w:val="32"/>
        </w:rPr>
        <w:t>HUSSEIN MOHAMED MOSTAFA AHMED ELBASSIOUNI</w:t>
      </w:r>
    </w:p>
    <w:p>
      <w:pPr>
        <w:spacing w:before="0" w:after="30"/>
        <w:jc w:val="center"/>
      </w:pPr>
      <w:r>
        <w:rPr>
          <w:rFonts w:ascii="Calibri" w:hAnsi="Calibri"/>
          <w:b/>
          <w:color w:val="2563EB"/>
          <w:sz w:val="19"/>
        </w:rPr>
        <w:t>Aspiring Business Informatics &amp; Data Science Specialist | Full-Stack Systems Engineer</w:t>
      </w:r>
    </w:p>
    <w:p>
      <w:pPr>
        <w:spacing w:before="0" w:after="60"/>
        <w:jc w:val="center"/>
      </w:pPr>
      <w:r>
        <w:rPr>
          <w:rFonts w:ascii="Calibri" w:hAnsi="Calibri"/>
          <w:color w:val="475569"/>
          <w:sz w:val="17"/>
        </w:rPr>
        <w:t>Cairo, Egypt  •  hussein.b.data@gmail.com  •  linkedin.com/in/hus-bassi  •  github.com/hus-bassi  •  hus-bassi.github.io/hussein-portfolio</w:t>
      </w:r>
    </w:p>
    <w:p>
      <w:pPr>
        <w:spacing w:before="80" w:after="30" w:line="240" w:lineRule="auto"/>
        <w:pBdr>
          <w:bottom w:val="single" w:sz="6" w:space="1" w:color="2563EB"/>
        </w:pBdr>
      </w:pPr>
      <w:r>
        <w:rPr>
          <w:rFonts w:ascii="Calibri" w:hAnsi="Calibri"/>
          <w:b/>
          <w:color w:val="1E293B"/>
          <w:sz w:val="20"/>
        </w:rPr>
        <w:t>PROFESSIONAL SUMMARY</w:t>
      </w:r>
    </w:p>
    <w:p>
      <w:pPr>
        <w:spacing w:before="40" w:after="60" w:line="252" w:lineRule="auto"/>
      </w:pPr>
      <w:r>
        <w:rPr>
          <w:rFonts w:ascii="Calibri" w:hAnsi="Calibri"/>
          <w:color w:val="334155"/>
          <w:sz w:val="17"/>
        </w:rPr>
        <w:t>Driven Business Informatics and Data Science student practitioner with proven hands-on capability in full-stack web architectures, relational database engineering, and applied data analytics. System architect and developer of Souq Elmajde Medical, an active enterprise medical supplies platform and operations ERP in Egypt. Rigorous spreadsheet modeling foundation backed by DataCamp's 15-Hour Google Sheets Track and accredited analytics credentials (NASBA, PMI). Trilingual communicator fluent in Arabic, with professional working English and progressing Russian, preparing for Bachelor's studies in Business Informatics (Specialty 38.03.05) and long-term research in Data Science.</w:t>
      </w:r>
    </w:p>
    <w:p>
      <w:pPr>
        <w:spacing w:before="80" w:after="30" w:line="240" w:lineRule="auto"/>
        <w:pBdr>
          <w:bottom w:val="single" w:sz="6" w:space="1" w:color="2563EB"/>
        </w:pBdr>
      </w:pPr>
      <w:r>
        <w:rPr>
          <w:rFonts w:ascii="Calibri" w:hAnsi="Calibri"/>
          <w:b/>
          <w:color w:val="1E293B"/>
          <w:sz w:val="20"/>
        </w:rPr>
        <w:t>TECHNICAL PROJECTS &amp; SYSTEMS ARCHITECTURE</w:t>
      </w:r>
    </w:p>
    <w:p>
      <w:pPr>
        <w:spacing w:before="44" w:after="16" w:line="245" w:lineRule="auto"/>
        <w:tabs>
          <w:tab w:val="right" w:pos="10900"/>
        </w:tabs>
      </w:pPr>
      <w:r>
        <w:rPr>
          <w:rFonts w:ascii="Calibri" w:hAnsi="Calibri"/>
          <w:b/>
          <w:color w:val="0F172A"/>
          <w:sz w:val="19"/>
        </w:rPr>
        <w:t>Souq Elmajde Medical Platform (elmajde.com)</w:t>
      </w:r>
      <w:r>
        <w:rPr>
          <w:rFonts w:ascii="Calibri" w:hAnsi="Calibri"/>
          <w:i/>
          <w:color w:val="334155"/>
          <w:sz w:val="18"/>
        </w:rPr>
        <w:t xml:space="preserve"> | Full-Stack Software Engineer &amp; System Architect</w:t>
      </w:r>
      <w:r>
        <w:tab/>
      </w:r>
      <w:r>
        <w:rPr>
          <w:rFonts w:ascii="Calibri" w:hAnsi="Calibri"/>
          <w:b/>
          <w:color w:val="475569"/>
          <w:sz w:val="18"/>
        </w:rPr>
        <w:t>2025 – Present</w:t>
      </w:r>
    </w:p>
    <w:p>
      <w:pPr>
        <w:spacing w:before="0" w:after="20" w:line="245" w:lineRule="auto"/>
        <w:ind w:left="259" w:hanging="202"/>
      </w:pPr>
      <w:r>
        <w:rPr>
          <w:rFonts w:ascii="Calibri" w:hAnsi="Calibri"/>
          <w:color w:val="2563EB"/>
          <w:sz w:val="18"/>
        </w:rPr>
        <w:t xml:space="preserve">•  </w:t>
      </w:r>
      <w:r>
        <w:rPr>
          <w:rFonts w:ascii="Calibri" w:hAnsi="Calibri"/>
          <w:b/>
          <w:color w:val="1E293B"/>
          <w:sz w:val="18"/>
        </w:rPr>
        <w:t xml:space="preserve">Enterprise Architecture: </w:t>
      </w:r>
      <w:r>
        <w:rPr>
          <w:rFonts w:ascii="Calibri" w:hAnsi="Calibri"/>
          <w:color w:val="334155"/>
          <w:sz w:val="18"/>
        </w:rPr>
        <w:t>Architected and engineered an end-to-end production medical e-commerce and ERP operations monorepo (Next.js 15, React 19 Server Components, TypeScript, PostgreSQL 16, Prisma ORM, Tailwind CSS, Android Native).</w:t>
      </w:r>
    </w:p>
    <w:p>
      <w:pPr>
        <w:spacing w:before="0" w:after="20" w:line="245" w:lineRule="auto"/>
        <w:ind w:left="259" w:hanging="202"/>
      </w:pPr>
      <w:r>
        <w:rPr>
          <w:rFonts w:ascii="Calibri" w:hAnsi="Calibri"/>
          <w:color w:val="2563EB"/>
          <w:sz w:val="18"/>
        </w:rPr>
        <w:t xml:space="preserve">•  </w:t>
      </w:r>
      <w:r>
        <w:rPr>
          <w:rFonts w:ascii="Calibri" w:hAnsi="Calibri"/>
          <w:b/>
          <w:color w:val="1E293B"/>
          <w:sz w:val="18"/>
        </w:rPr>
        <w:t xml:space="preserve">Relational Database Design: </w:t>
      </w:r>
      <w:r>
        <w:rPr>
          <w:rFonts w:ascii="Calibri" w:hAnsi="Calibri"/>
          <w:color w:val="334155"/>
          <w:sz w:val="18"/>
        </w:rPr>
        <w:t>Designed a 25+ model relational database schema in 3NF with immutable order pricing snapshots, variant tracking, automated inventory alerts, and profit margin calculation state machines.</w:t>
      </w:r>
    </w:p>
    <w:p>
      <w:pPr>
        <w:spacing w:before="0" w:after="20" w:line="245" w:lineRule="auto"/>
        <w:ind w:left="259" w:hanging="202"/>
      </w:pPr>
      <w:r>
        <w:rPr>
          <w:rFonts w:ascii="Calibri" w:hAnsi="Calibri"/>
          <w:color w:val="2563EB"/>
          <w:sz w:val="18"/>
        </w:rPr>
        <w:t xml:space="preserve">•  </w:t>
      </w:r>
      <w:r>
        <w:rPr>
          <w:rFonts w:ascii="Calibri" w:hAnsi="Calibri"/>
          <w:b/>
          <w:color w:val="1E293B"/>
          <w:sz w:val="18"/>
        </w:rPr>
        <w:t xml:space="preserve">Logistics &amp; Operations Engine: </w:t>
      </w:r>
      <w:r>
        <w:rPr>
          <w:rFonts w:ascii="Calibri" w:hAnsi="Calibri"/>
          <w:color w:val="334155"/>
          <w:sz w:val="18"/>
        </w:rPr>
        <w:t>Engineered a custom logistics calculation engine covering all 27 Egyptian governorates with 3 distinct shipping tiers, Cash-on-Delivery (COD) reconciliation, and strict Egyptian mobile number validation.</w:t>
      </w:r>
    </w:p>
    <w:p>
      <w:pPr>
        <w:spacing w:before="0" w:after="20" w:line="245" w:lineRule="auto"/>
        <w:ind w:left="259" w:hanging="202"/>
      </w:pPr>
      <w:r>
        <w:rPr>
          <w:rFonts w:ascii="Calibri" w:hAnsi="Calibri"/>
          <w:color w:val="2563EB"/>
          <w:sz w:val="18"/>
        </w:rPr>
        <w:t xml:space="preserve">•  </w:t>
      </w:r>
      <w:r>
        <w:rPr>
          <w:rFonts w:ascii="Calibri" w:hAnsi="Calibri"/>
          <w:b/>
          <w:color w:val="1E293B"/>
          <w:sz w:val="18"/>
        </w:rPr>
        <w:t xml:space="preserve">Security &amp; DevOps Integration: </w:t>
      </w:r>
      <w:r>
        <w:rPr>
          <w:rFonts w:ascii="Calibri" w:hAnsi="Calibri"/>
          <w:color w:val="334155"/>
          <w:sz w:val="18"/>
        </w:rPr>
        <w:t>Implemented server-side Meta Conversions API (CAPI) with order deduplication, dynamic CSP nonces, AES-256-GCM token encryption, and automated zero-downtime atomic release pipelines (deploy-atomic.sh).</w:t>
      </w:r>
    </w:p>
    <w:p>
      <w:pPr>
        <w:spacing w:before="80" w:after="30" w:line="240" w:lineRule="auto"/>
        <w:pBdr>
          <w:bottom w:val="single" w:sz="6" w:space="1" w:color="2563EB"/>
        </w:pBdr>
      </w:pPr>
      <w:r>
        <w:rPr>
          <w:rFonts w:ascii="Calibri" w:hAnsi="Calibri"/>
          <w:b/>
          <w:color w:val="1E293B"/>
          <w:sz w:val="20"/>
        </w:rPr>
        <w:t>PROFESSIONAL CERTIFICATIONS &amp; CREDENTIALS</w:t>
      </w:r>
    </w:p>
    <w:p>
      <w:pPr>
        <w:spacing w:before="44" w:after="16" w:line="245" w:lineRule="auto"/>
        <w:tabs>
          <w:tab w:val="right" w:pos="10900"/>
        </w:tabs>
      </w:pPr>
      <w:r>
        <w:rPr>
          <w:rFonts w:ascii="Calibri" w:hAnsi="Calibri"/>
          <w:b/>
          <w:color w:val="0F172A"/>
          <w:sz w:val="19"/>
        </w:rPr>
        <w:t>DataCamp Certified Tracks &amp; Coursework</w:t>
      </w:r>
      <w:r>
        <w:rPr>
          <w:rFonts w:ascii="Calibri" w:hAnsi="Calibri"/>
          <w:i/>
          <w:color w:val="334155"/>
          <w:sz w:val="18"/>
        </w:rPr>
        <w:t xml:space="preserve"> | DataCamp (Credentials #967,410 &amp; #47,542,030)</w:t>
      </w:r>
      <w:r>
        <w:tab/>
      </w:r>
      <w:r>
        <w:rPr>
          <w:rFonts w:ascii="Calibri" w:hAnsi="Calibri"/>
          <w:b/>
          <w:color w:val="475569"/>
          <w:sz w:val="18"/>
        </w:rPr>
        <w:t>Oct 2026</w:t>
      </w:r>
    </w:p>
    <w:p>
      <w:pPr>
        <w:spacing w:before="0" w:after="20" w:line="245" w:lineRule="auto"/>
        <w:ind w:left="259" w:hanging="202"/>
      </w:pPr>
      <w:r>
        <w:rPr>
          <w:rFonts w:ascii="Calibri" w:hAnsi="Calibri"/>
          <w:color w:val="2563EB"/>
          <w:sz w:val="18"/>
        </w:rPr>
        <w:t xml:space="preserve">•  </w:t>
      </w:r>
      <w:r>
        <w:rPr>
          <w:rFonts w:ascii="Calibri" w:hAnsi="Calibri"/>
          <w:color w:val="334155"/>
          <w:sz w:val="18"/>
        </w:rPr>
        <w:t>Google Sheets Fundamentals (15-Hour Skill Track): Comprehensive 5-course track (Intro, Data Analysis, Intermediate, Pivot Tables, Visualization). Mastered complex VLOOKUPs, data modeling, logical error handling, and executive dashboard architecture.</w:t>
      </w:r>
    </w:p>
    <w:p>
      <w:pPr>
        <w:spacing w:before="0" w:after="20" w:line="245" w:lineRule="auto"/>
        <w:ind w:left="259" w:hanging="202"/>
      </w:pPr>
      <w:r>
        <w:rPr>
          <w:rFonts w:ascii="Calibri" w:hAnsi="Calibri"/>
          <w:color w:val="2563EB"/>
          <w:sz w:val="18"/>
        </w:rPr>
        <w:t xml:space="preserve">•  </w:t>
      </w:r>
      <w:r>
        <w:rPr>
          <w:rFonts w:ascii="Calibri" w:hAnsi="Calibri"/>
          <w:color w:val="334155"/>
          <w:sz w:val="18"/>
        </w:rPr>
        <w:t>Introduction to Python (4-Hour Course): Practical foundational programming for data analysis; covered variables, list manipulation &amp; slicing, custom functions, package management, and 2D numerical analysis &amp; statistics via NumPy.</w:t>
      </w:r>
    </w:p>
    <w:p>
      <w:pPr>
        <w:spacing w:before="44" w:after="16" w:line="245" w:lineRule="auto"/>
        <w:tabs>
          <w:tab w:val="right" w:pos="10900"/>
        </w:tabs>
      </w:pPr>
      <w:r>
        <w:rPr>
          <w:rFonts w:ascii="Calibri" w:hAnsi="Calibri"/>
          <w:b/>
          <w:color w:val="0F172A"/>
          <w:sz w:val="19"/>
        </w:rPr>
        <w:t>Statistics Foundations 1: The Basics</w:t>
      </w:r>
      <w:r>
        <w:rPr>
          <w:rFonts w:ascii="Calibri" w:hAnsi="Calibri"/>
          <w:i/>
          <w:color w:val="334155"/>
          <w:sz w:val="18"/>
        </w:rPr>
        <w:t xml:space="preserve"> | LinkedIn Learning &amp; NASBA (1.80 CPE Credits, Registry #140940)</w:t>
      </w:r>
      <w:r>
        <w:tab/>
      </w:r>
      <w:r>
        <w:rPr>
          <w:rFonts w:ascii="Calibri" w:hAnsi="Calibri"/>
          <w:b/>
          <w:color w:val="475569"/>
          <w:sz w:val="18"/>
        </w:rPr>
        <w:t>Dec 2025</w:t>
      </w:r>
    </w:p>
    <w:p>
      <w:pPr>
        <w:spacing w:before="0" w:after="20" w:line="245" w:lineRule="auto"/>
        <w:ind w:left="259" w:hanging="202"/>
      </w:pPr>
      <w:r>
        <w:rPr>
          <w:rFonts w:ascii="Calibri" w:hAnsi="Calibri"/>
          <w:color w:val="2563EB"/>
          <w:sz w:val="18"/>
        </w:rPr>
        <w:t xml:space="preserve">•  </w:t>
      </w:r>
      <w:r>
        <w:rPr>
          <w:rFonts w:ascii="Calibri" w:hAnsi="Calibri"/>
          <w:color w:val="334155"/>
          <w:sz w:val="18"/>
        </w:rPr>
        <w:t>Completed accredited professional coursework covering descriptive statistics, data distributions, sample variance, standard deviation, and foundational probability models for data science.</w:t>
      </w:r>
    </w:p>
    <w:p>
      <w:pPr>
        <w:spacing w:before="44" w:after="16" w:line="245" w:lineRule="auto"/>
        <w:tabs>
          <w:tab w:val="right" w:pos="10900"/>
        </w:tabs>
      </w:pPr>
      <w:r>
        <w:rPr>
          <w:rFonts w:ascii="Calibri" w:hAnsi="Calibri"/>
          <w:b/>
          <w:color w:val="0F172A"/>
          <w:sz w:val="19"/>
        </w:rPr>
        <w:t>Professional &amp; AI Credentials</w:t>
      </w:r>
      <w:r>
        <w:rPr>
          <w:rFonts w:ascii="Calibri" w:hAnsi="Calibri"/>
          <w:i/>
          <w:color w:val="334155"/>
          <w:sz w:val="18"/>
        </w:rPr>
        <w:t xml:space="preserve"> | ASEAN Foundation / MinnaLearn / KNIME / PMI</w:t>
      </w:r>
      <w:r>
        <w:tab/>
      </w:r>
      <w:r>
        <w:rPr>
          <w:rFonts w:ascii="Calibri" w:hAnsi="Calibri"/>
          <w:b/>
          <w:color w:val="475569"/>
          <w:sz w:val="18"/>
        </w:rPr>
        <w:t>2025 – 2026</w:t>
      </w:r>
    </w:p>
    <w:p>
      <w:pPr>
        <w:spacing w:before="0" w:after="20" w:line="245" w:lineRule="auto"/>
        <w:ind w:left="259" w:hanging="202"/>
      </w:pPr>
      <w:r>
        <w:rPr>
          <w:rFonts w:ascii="Calibri" w:hAnsi="Calibri"/>
          <w:color w:val="2563EB"/>
          <w:sz w:val="18"/>
        </w:rPr>
        <w:t xml:space="preserve">•  </w:t>
      </w:r>
      <w:r>
        <w:rPr>
          <w:rFonts w:ascii="Calibri" w:hAnsi="Calibri"/>
          <w:color w:val="334155"/>
          <w:sz w:val="18"/>
        </w:rPr>
        <w:t>AI Career Readiness Training (ASEAN Foundation &amp; LinkedIn, Oct 2026) • Elements of AI for Business (MinnaLearn &amp; Univ. of Helsinki, July 2026) • Non-Technical Skills of Effective Data Scientists (KNIME &amp; NASBA 1.6 CPE, Dec 2025) • Job Skills: Learning the Basics (PMI Provider #4101, 0.25 PDUs, Dec 2025) • First Aid (Edraak, Sept 2026).</w:t>
      </w:r>
    </w:p>
    <w:p>
      <w:pPr>
        <w:spacing w:before="80" w:after="30" w:line="240" w:lineRule="auto"/>
        <w:pBdr>
          <w:bottom w:val="single" w:sz="6" w:space="1" w:color="2563EB"/>
        </w:pBdr>
      </w:pPr>
      <w:r>
        <w:rPr>
          <w:rFonts w:ascii="Calibri" w:hAnsi="Calibri"/>
          <w:b/>
          <w:color w:val="1E293B"/>
          <w:sz w:val="20"/>
        </w:rPr>
        <w:t>VOLUNTEERING, LEADERSHIP &amp; ATHLETICS</w:t>
      </w:r>
    </w:p>
    <w:p>
      <w:pPr>
        <w:spacing w:before="44" w:after="16" w:line="245" w:lineRule="auto"/>
        <w:tabs>
          <w:tab w:val="right" w:pos="10900"/>
        </w:tabs>
      </w:pPr>
      <w:r>
        <w:rPr>
          <w:rFonts w:ascii="Calibri" w:hAnsi="Calibri"/>
          <w:b/>
          <w:color w:val="0F172A"/>
          <w:sz w:val="19"/>
        </w:rPr>
        <w:t>Russian House in Cairo (Cultural Center &amp; Youth Club)</w:t>
      </w:r>
      <w:r>
        <w:rPr>
          <w:rFonts w:ascii="Calibri" w:hAnsi="Calibri"/>
          <w:i/>
          <w:color w:val="334155"/>
          <w:sz w:val="18"/>
        </w:rPr>
        <w:t xml:space="preserve"> | Event &amp; Operations Coordinator</w:t>
      </w:r>
      <w:r>
        <w:tab/>
      </w:r>
      <w:r>
        <w:rPr>
          <w:rFonts w:ascii="Calibri" w:hAnsi="Calibri"/>
          <w:b/>
          <w:color w:val="475569"/>
          <w:sz w:val="18"/>
        </w:rPr>
        <w:t>June 2026</w:t>
      </w:r>
    </w:p>
    <w:p>
      <w:pPr>
        <w:spacing w:before="0" w:after="20" w:line="245" w:lineRule="auto"/>
        <w:ind w:left="259" w:hanging="202"/>
      </w:pPr>
      <w:r>
        <w:rPr>
          <w:rFonts w:ascii="Calibri" w:hAnsi="Calibri"/>
          <w:color w:val="2563EB"/>
          <w:sz w:val="18"/>
        </w:rPr>
        <w:t xml:space="preserve">•  </w:t>
      </w:r>
      <w:r>
        <w:rPr>
          <w:rFonts w:ascii="Calibri" w:hAnsi="Calibri"/>
          <w:color w:val="334155"/>
          <w:sz w:val="18"/>
        </w:rPr>
        <w:t>Coordinated stage preparation, audiovisual setup, and youth orientation for official cultural programs; managed hall logistics, tournament clocks, and arbiter coordination for competitive Chess Championships.</w:t>
      </w:r>
    </w:p>
    <w:p>
      <w:pPr>
        <w:spacing w:before="44" w:after="16" w:line="245" w:lineRule="auto"/>
        <w:tabs>
          <w:tab w:val="right" w:pos="10900"/>
        </w:tabs>
      </w:pPr>
      <w:r>
        <w:rPr>
          <w:rFonts w:ascii="Calibri" w:hAnsi="Calibri"/>
          <w:b/>
          <w:color w:val="0F172A"/>
          <w:sz w:val="19"/>
        </w:rPr>
        <w:t>International Dictation 2026 &amp; Competitive Athletics</w:t>
      </w:r>
      <w:r>
        <w:rPr>
          <w:rFonts w:ascii="Calibri" w:hAnsi="Calibri"/>
          <w:i/>
          <w:color w:val="334155"/>
          <w:sz w:val="18"/>
        </w:rPr>
        <w:t xml:space="preserve"> | Russian House in Cairo / Youth Sports Centers</w:t>
      </w:r>
      <w:r>
        <w:tab/>
      </w:r>
      <w:r>
        <w:rPr>
          <w:rFonts w:ascii="Calibri" w:hAnsi="Calibri"/>
          <w:b/>
          <w:color w:val="475569"/>
          <w:sz w:val="18"/>
        </w:rPr>
        <w:t>2023 – 2026</w:t>
      </w:r>
    </w:p>
    <w:p>
      <w:pPr>
        <w:spacing w:before="0" w:after="20" w:line="245" w:lineRule="auto"/>
        <w:ind w:left="259" w:hanging="202"/>
      </w:pPr>
      <w:r>
        <w:rPr>
          <w:rFonts w:ascii="Calibri" w:hAnsi="Calibri"/>
          <w:color w:val="2563EB"/>
          <w:sz w:val="18"/>
        </w:rPr>
        <w:t xml:space="preserve">•  </w:t>
      </w:r>
      <w:r>
        <w:rPr>
          <w:rFonts w:ascii="Calibri" w:hAnsi="Calibri"/>
          <w:color w:val="334155"/>
          <w:sz w:val="18"/>
        </w:rPr>
        <w:t>Certified Participant in International Dictation 2026 (Arabic Language Nomination, Sept 2026) organized by the Russian House in Cairo and Moscow. Competitive Middle Blocker in youth volleyball; led frontline blocking defense to a 3–0 clean-sheet victory in Al-Safa Activation Tournament (2023) and 3rd Place in Ramadan Friendly Cup.</w:t>
      </w:r>
    </w:p>
    <w:p>
      <w:pPr>
        <w:spacing w:before="80" w:after="30" w:line="240" w:lineRule="auto"/>
        <w:pBdr>
          <w:bottom w:val="single" w:sz="6" w:space="1" w:color="2563EB"/>
        </w:pBdr>
      </w:pPr>
      <w:r>
        <w:rPr>
          <w:rFonts w:ascii="Calibri" w:hAnsi="Calibri"/>
          <w:b/>
          <w:color w:val="1E293B"/>
          <w:sz w:val="20"/>
        </w:rPr>
        <w:t>EDUCATION &amp; ACADEMIC GOALS</w:t>
      </w:r>
    </w:p>
    <w:p>
      <w:pPr>
        <w:spacing w:before="44" w:after="16" w:line="245" w:lineRule="auto"/>
        <w:tabs>
          <w:tab w:val="right" w:pos="10900"/>
        </w:tabs>
      </w:pPr>
      <w:r>
        <w:rPr>
          <w:rFonts w:ascii="Calibri" w:hAnsi="Calibri"/>
          <w:b/>
          <w:color w:val="0F172A"/>
          <w:sz w:val="19"/>
        </w:rPr>
        <w:t>General Secondary Education Certificate (Thanaweya Amma)</w:t>
      </w:r>
      <w:r>
        <w:rPr>
          <w:rFonts w:ascii="Calibri" w:hAnsi="Calibri"/>
          <w:i/>
          <w:color w:val="334155"/>
          <w:sz w:val="18"/>
        </w:rPr>
        <w:t xml:space="preserve"> | Ministry of Education, Egypt</w:t>
      </w:r>
      <w:r>
        <w:tab/>
      </w:r>
      <w:r>
        <w:rPr>
          <w:rFonts w:ascii="Calibri" w:hAnsi="Calibri"/>
          <w:b/>
          <w:color w:val="475569"/>
          <w:sz w:val="18"/>
        </w:rPr>
        <w:t>Graduated 2022</w:t>
      </w:r>
    </w:p>
    <w:p>
      <w:pPr>
        <w:spacing w:before="0" w:after="20" w:line="245" w:lineRule="auto"/>
        <w:ind w:left="259" w:hanging="202"/>
      </w:pPr>
      <w:r>
        <w:rPr>
          <w:rFonts w:ascii="Calibri" w:hAnsi="Calibri"/>
          <w:color w:val="2563EB"/>
          <w:sz w:val="18"/>
        </w:rPr>
        <w:t xml:space="preserve">•  </w:t>
      </w:r>
      <w:r>
        <w:rPr>
          <w:rFonts w:ascii="Calibri" w:hAnsi="Calibri"/>
          <w:color w:val="334155"/>
          <w:sz w:val="18"/>
        </w:rPr>
        <w:t>Academic Score: 63%. Demonstrated sustained discipline, post-secondary self-study, and continuous upskilling across software engineering and data analytics.</w:t>
      </w:r>
    </w:p>
    <w:p>
      <w:pPr>
        <w:spacing w:before="0" w:after="20" w:line="245" w:lineRule="auto"/>
        <w:ind w:left="259" w:hanging="202"/>
      </w:pPr>
      <w:r>
        <w:rPr>
          <w:rFonts w:ascii="Calibri" w:hAnsi="Calibri"/>
          <w:color w:val="2563EB"/>
          <w:sz w:val="18"/>
        </w:rPr>
        <w:t xml:space="preserve">•  </w:t>
      </w:r>
      <w:r>
        <w:rPr>
          <w:rFonts w:ascii="Calibri" w:hAnsi="Calibri"/>
          <w:b/>
          <w:color w:val="1E293B"/>
          <w:sz w:val="18"/>
        </w:rPr>
        <w:t xml:space="preserve">Academic Plan: </w:t>
      </w:r>
      <w:r>
        <w:rPr>
          <w:rFonts w:ascii="Calibri" w:hAnsi="Calibri"/>
          <w:color w:val="334155"/>
          <w:sz w:val="18"/>
        </w:rPr>
        <w:t>Target Direction: Bachelor of Science in Business Informatics (Specialty 38.03.05) → Master's in Data Science → PhD in Data Science in Astronomy.</w:t>
      </w:r>
    </w:p>
    <w:p>
      <w:pPr>
        <w:spacing w:before="80" w:after="30" w:line="240" w:lineRule="auto"/>
        <w:pBdr>
          <w:bottom w:val="single" w:sz="6" w:space="1" w:color="2563EB"/>
        </w:pBdr>
      </w:pPr>
      <w:r>
        <w:rPr>
          <w:rFonts w:ascii="Calibri" w:hAnsi="Calibri"/>
          <w:b/>
          <w:color w:val="1E293B"/>
          <w:sz w:val="20"/>
        </w:rPr>
        <w:t>CORE SKILLS &amp; TECHNICAL COMPETENCIES</w:t>
      </w:r>
    </w:p>
    <w:p>
      <w:pPr>
        <w:spacing w:before="0" w:after="20" w:line="245" w:lineRule="auto"/>
        <w:ind w:left="259" w:hanging="202"/>
      </w:pPr>
      <w:r>
        <w:rPr>
          <w:rFonts w:ascii="Calibri" w:hAnsi="Calibri"/>
          <w:color w:val="2563EB"/>
          <w:sz w:val="18"/>
        </w:rPr>
        <w:t xml:space="preserve">•  </w:t>
      </w:r>
      <w:r>
        <w:rPr>
          <w:rFonts w:ascii="Calibri" w:hAnsi="Calibri"/>
          <w:b/>
          <w:color w:val="1E293B"/>
          <w:sz w:val="18"/>
        </w:rPr>
        <w:t xml:space="preserve">Programming &amp; Frameworks: </w:t>
      </w:r>
      <w:r>
        <w:rPr>
          <w:rFonts w:ascii="Calibri" w:hAnsi="Calibri"/>
          <w:color w:val="334155"/>
          <w:sz w:val="18"/>
        </w:rPr>
        <w:t>Next.js 15, React 19, TypeScript, JavaScript (ES6+), Node.js, Tailwind CSS, HTML5/CSS3, Python (NumPy, DataCamp Certified).</w:t>
      </w:r>
    </w:p>
    <w:p>
      <w:pPr>
        <w:spacing w:before="0" w:after="20" w:line="245" w:lineRule="auto"/>
        <w:ind w:left="259" w:hanging="202"/>
      </w:pPr>
      <w:r>
        <w:rPr>
          <w:rFonts w:ascii="Calibri" w:hAnsi="Calibri"/>
          <w:color w:val="2563EB"/>
          <w:sz w:val="18"/>
        </w:rPr>
        <w:t xml:space="preserve">•  </w:t>
      </w:r>
      <w:r>
        <w:rPr>
          <w:rFonts w:ascii="Calibri" w:hAnsi="Calibri"/>
          <w:b/>
          <w:color w:val="1E293B"/>
          <w:sz w:val="18"/>
        </w:rPr>
        <w:t xml:space="preserve">Databases &amp; Data Analytics: </w:t>
      </w:r>
      <w:r>
        <w:rPr>
          <w:rFonts w:ascii="Calibri" w:hAnsi="Calibri"/>
          <w:color w:val="334155"/>
          <w:sz w:val="18"/>
        </w:rPr>
        <w:t>PostgreSQL 16, Prisma ORM, Advanced Google Sheets &amp; MS Excel (VLOOKUP, Pivot Tables, Statistical Functions, Dashboards).</w:t>
      </w:r>
    </w:p>
    <w:p>
      <w:pPr>
        <w:spacing w:before="0" w:after="20" w:line="245" w:lineRule="auto"/>
        <w:ind w:left="259" w:hanging="202"/>
      </w:pPr>
      <w:r>
        <w:rPr>
          <w:rFonts w:ascii="Calibri" w:hAnsi="Calibri"/>
          <w:color w:val="2563EB"/>
          <w:sz w:val="18"/>
        </w:rPr>
        <w:t xml:space="preserve">•  </w:t>
      </w:r>
      <w:r>
        <w:rPr>
          <w:rFonts w:ascii="Calibri" w:hAnsi="Calibri"/>
          <w:b/>
          <w:color w:val="1E293B"/>
          <w:sz w:val="18"/>
        </w:rPr>
        <w:t xml:space="preserve">Systems &amp; DevOps: </w:t>
      </w:r>
      <w:r>
        <w:rPr>
          <w:rFonts w:ascii="Calibri" w:hAnsi="Calibri"/>
          <w:color w:val="334155"/>
          <w:sz w:val="18"/>
        </w:rPr>
        <w:t>Monorepo Architecture (NPM Workspaces), REST APIs, Meta Conversions API (CAPI), Git/GitHub, Linux Cloud Hosting, AES-256-GCM.</w:t>
      </w:r>
    </w:p>
    <w:p>
      <w:pPr>
        <w:spacing w:before="0" w:after="20" w:line="245" w:lineRule="auto"/>
        <w:ind w:left="259" w:hanging="202"/>
      </w:pPr>
      <w:r>
        <w:rPr>
          <w:rFonts w:ascii="Calibri" w:hAnsi="Calibri"/>
          <w:color w:val="2563EB"/>
          <w:sz w:val="18"/>
        </w:rPr>
        <w:t xml:space="preserve">•  </w:t>
      </w:r>
      <w:r>
        <w:rPr>
          <w:rFonts w:ascii="Calibri" w:hAnsi="Calibri"/>
          <w:b/>
          <w:color w:val="1E293B"/>
          <w:sz w:val="18"/>
        </w:rPr>
        <w:t xml:space="preserve">Languages &amp; Communication: </w:t>
      </w:r>
      <w:r>
        <w:rPr>
          <w:rFonts w:ascii="Calibri" w:hAnsi="Calibri"/>
          <w:color w:val="334155"/>
          <w:sz w:val="18"/>
        </w:rPr>
        <w:t>Arabic (Native), English (Professional Working), Russian (Academic Target / Elementary A2-B1 in progress).</w:t>
      </w:r>
    </w:p>
    <w:sectPr w:rsidR="00FC693F" w:rsidRPr="0006063C" w:rsidSect="00034616">
      <w:pgSz w:w="12240" w:h="15840"/>
      <w:pgMar w:top="547" w:right="648" w:bottom="547"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