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  <w:jc w:val="center"/>
      </w:pPr>
      <w:r>
        <w:rPr>
          <w:rFonts w:ascii="Calibri" w:hAnsi="Calibri"/>
          <w:b/>
          <w:color w:val="0F172A"/>
          <w:sz w:val="31"/>
        </w:rPr>
        <w:t>ХУССЕЙН МОХАМЕД МОСТАФА АХМЕД ЭЛЬБАССИУНИ</w:t>
      </w:r>
    </w:p>
    <w:p>
      <w:pPr>
        <w:spacing w:before="0" w:after="30"/>
        <w:jc w:val="center"/>
      </w:pPr>
      <w:r>
        <w:rPr>
          <w:rFonts w:ascii="Calibri" w:hAnsi="Calibri"/>
          <w:b/>
          <w:color w:val="2563EB"/>
          <w:sz w:val="19"/>
        </w:rPr>
        <w:t>Специалист по бизнес-информатике и науке о данных | Full-Stack разработчик</w:t>
      </w:r>
    </w:p>
    <w:p>
      <w:pPr>
        <w:spacing w:before="0" w:after="50"/>
        <w:jc w:val="center"/>
      </w:pPr>
      <w:r>
        <w:rPr>
          <w:rFonts w:ascii="Calibri" w:hAnsi="Calibri"/>
          <w:color w:val="475569"/>
          <w:sz w:val="17"/>
        </w:rPr>
        <w:t>Каир, Египет  •  hussein.b.data@gmail.com  •  +201022977790  •  linkedin.com/in/hus-bassi  •  github.com/hus-bassi  •  hus-bassi.vercel.app</w:t>
      </w:r>
    </w:p>
    <w:p>
      <w:pPr>
        <w:spacing w:before="70" w:after="30" w:line="240" w:lineRule="auto"/>
        <w:pBdr>
          <w:bottom w:val="single" w:sz="6" w:space="1" w:color="2563EB"/>
        </w:pBdr>
      </w:pPr>
      <w:r>
        <w:rPr>
          <w:rFonts w:ascii="Calibri" w:hAnsi="Calibri"/>
          <w:b/>
          <w:color w:val="1E293B"/>
          <w:sz w:val="20"/>
        </w:rPr>
        <w:t>ПРОФЕССИОНАЛЬНЫЙ ПРОФИЛЬ</w:t>
      </w:r>
    </w:p>
    <w:p>
      <w:pPr>
        <w:spacing w:before="30" w:after="40" w:line="245" w:lineRule="auto"/>
      </w:pPr>
      <w:r>
        <w:rPr>
          <w:rFonts w:ascii="Calibri" w:hAnsi="Calibri"/>
          <w:color w:val="334155"/>
          <w:sz w:val="17"/>
        </w:rPr>
        <w:t>Целеустремленный практик в области бизнес-информатики и анализа данных с подтвержденным практическим опытом веб-архитектуры, проектирования реляционных баз данных и прикладной аналитики. Создатель и ведущий разработчик Souq Elmajde Medical — действующей enterprise-платформы медицинского снабжения и ERP-системы в Египте. Обладает фундаментальной подготовкой по аналитике данных на базе 15-часового трека DataCamp и аккредитованными квалификациями (NASBA, PMI). Академическая цель: получение высшего образования по программе бакалавриата 38.03.05 «Бизнес-информатика» в ведущих университетах РФ с дальнейшим продолжением научно-исследовательской деятельности в магистратуре по Data Science. Владеет арабским (родной), английским (профессиональный рабочий) и русским языками.</w:t>
      </w:r>
    </w:p>
    <w:p>
      <w:pPr>
        <w:spacing w:before="70" w:after="30" w:line="240" w:lineRule="auto"/>
        <w:pBdr>
          <w:bottom w:val="single" w:sz="6" w:space="1" w:color="2563EB"/>
        </w:pBdr>
      </w:pPr>
      <w:r>
        <w:rPr>
          <w:rFonts w:ascii="Calibri" w:hAnsi="Calibri"/>
          <w:b/>
          <w:color w:val="1E293B"/>
          <w:sz w:val="20"/>
        </w:rPr>
        <w:t>ОБРАЗОВАНИЕ</w:t>
      </w:r>
    </w:p>
    <w:p>
      <w:pPr>
        <w:spacing w:before="40" w:after="10" w:line="245" w:lineRule="auto"/>
        <w:tabs>
          <w:tab w:val="right" w:pos="10900"/>
        </w:tabs>
      </w:pPr>
      <w:r>
        <w:rPr>
          <w:rFonts w:ascii="Calibri" w:hAnsi="Calibri"/>
          <w:b/>
          <w:color w:val="0F172A"/>
          <w:sz w:val="19"/>
        </w:rPr>
        <w:t>Аттестат о среднем общем образовании (Танавия Амма)</w:t>
      </w:r>
      <w:r>
        <w:rPr>
          <w:rFonts w:ascii="Calibri" w:hAnsi="Calibri"/>
          <w:i/>
          <w:color w:val="334155"/>
          <w:sz w:val="18"/>
        </w:rPr>
        <w:t xml:space="preserve"> | Министерство образования Египта</w:t>
      </w:r>
      <w:r>
        <w:tab/>
      </w:r>
      <w:r>
        <w:rPr>
          <w:rFonts w:ascii="Calibri" w:hAnsi="Calibri"/>
          <w:b/>
          <w:color w:val="475569"/>
          <w:sz w:val="18"/>
        </w:rPr>
        <w:t>2022</w:t>
      </w:r>
    </w:p>
    <w:p>
      <w:pPr>
        <w:spacing w:before="0" w:after="20" w:line="245" w:lineRule="auto"/>
        <w:ind w:left="259" w:hanging="202"/>
      </w:pPr>
      <w:r>
        <w:rPr>
          <w:rFonts w:ascii="Calibri" w:hAnsi="Calibri"/>
          <w:color w:val="2563EB"/>
          <w:sz w:val="18"/>
        </w:rPr>
        <w:t xml:space="preserve">•  </w:t>
      </w:r>
      <w:r>
        <w:rPr>
          <w:rFonts w:ascii="Calibri" w:hAnsi="Calibri"/>
          <w:color w:val="334155"/>
          <w:sz w:val="17"/>
        </w:rPr>
        <w:t>Успешно освоил полный курс общего среднего образования. Продемонстрировал высокую учебную дисциплину, систематическое непрерывное самообразование и углубленное практическое освоение программной инженерии и методов анализа данных.</w:t>
      </w:r>
    </w:p>
    <w:p>
      <w:pPr>
        <w:spacing w:before="70" w:after="30" w:line="240" w:lineRule="auto"/>
        <w:pBdr>
          <w:bottom w:val="single" w:sz="6" w:space="1" w:color="2563EB"/>
        </w:pBdr>
      </w:pPr>
      <w:r>
        <w:rPr>
          <w:rFonts w:ascii="Calibri" w:hAnsi="Calibri"/>
          <w:b/>
          <w:color w:val="1E293B"/>
          <w:sz w:val="20"/>
        </w:rPr>
        <w:t>ПРОФЕССИОНАЛЬНАЯ СЕРТИФИКАЦИЯ И КУРСЫ</w:t>
      </w:r>
    </w:p>
    <w:p>
      <w:pPr>
        <w:spacing w:before="40" w:after="10" w:line="245" w:lineRule="auto"/>
        <w:tabs>
          <w:tab w:val="right" w:pos="10900"/>
        </w:tabs>
      </w:pPr>
      <w:r>
        <w:rPr>
          <w:rFonts w:ascii="Calibri" w:hAnsi="Calibri"/>
          <w:b/>
          <w:color w:val="0F172A"/>
          <w:sz w:val="19"/>
        </w:rPr>
        <w:t>Квалификационные треки DataCamp (Python и анализ данных)</w:t>
      </w:r>
      <w:r>
        <w:rPr>
          <w:rFonts w:ascii="Calibri" w:hAnsi="Calibri"/>
          <w:i/>
          <w:color w:val="334155"/>
          <w:sz w:val="18"/>
        </w:rPr>
        <w:t xml:space="preserve"> | DataCamp (№967,410 &amp; №47,542,030)</w:t>
      </w:r>
      <w:r>
        <w:tab/>
      </w:r>
      <w:r>
        <w:rPr>
          <w:rFonts w:ascii="Calibri" w:hAnsi="Calibri"/>
          <w:b/>
          <w:color w:val="475569"/>
          <w:sz w:val="18"/>
        </w:rPr>
        <w:t>Октябрь 2026</w:t>
      </w:r>
    </w:p>
    <w:p>
      <w:pPr>
        <w:spacing w:before="0" w:after="20" w:line="245" w:lineRule="auto"/>
        <w:ind w:left="259" w:hanging="202"/>
      </w:pPr>
      <w:r>
        <w:rPr>
          <w:rFonts w:ascii="Calibri" w:hAnsi="Calibri"/>
          <w:color w:val="2563EB"/>
          <w:sz w:val="18"/>
        </w:rPr>
        <w:t xml:space="preserve">•  </w:t>
      </w:r>
      <w:r>
        <w:rPr>
          <w:rFonts w:ascii="Calibri" w:hAnsi="Calibri"/>
          <w:color w:val="334155"/>
          <w:sz w:val="17"/>
        </w:rPr>
        <w:t>Google Sheets Fundamentals (15-часовой спецтрек): комплекс из 5 курсов (анализ, сложное моделирование VLOOKUP, сводные таблицы, дашборды).</w:t>
      </w:r>
    </w:p>
    <w:p>
      <w:pPr>
        <w:spacing w:before="0" w:after="20" w:line="245" w:lineRule="auto"/>
        <w:ind w:left="259" w:hanging="202"/>
      </w:pPr>
      <w:r>
        <w:rPr>
          <w:rFonts w:ascii="Calibri" w:hAnsi="Calibri"/>
          <w:color w:val="2563EB"/>
          <w:sz w:val="18"/>
        </w:rPr>
        <w:t xml:space="preserve">•  </w:t>
      </w:r>
      <w:r>
        <w:rPr>
          <w:rFonts w:ascii="Calibri" w:hAnsi="Calibri"/>
          <w:color w:val="334155"/>
          <w:sz w:val="17"/>
        </w:rPr>
        <w:t>Introduction to Python (4-часовой курс): синтаксис, срезы списков, функции, пакеты и численный анализ 2D-матриц в NumPy.</w:t>
      </w:r>
    </w:p>
    <w:p>
      <w:pPr>
        <w:spacing w:before="40" w:after="10" w:line="245" w:lineRule="auto"/>
        <w:tabs>
          <w:tab w:val="right" w:pos="10900"/>
        </w:tabs>
      </w:pPr>
      <w:r>
        <w:rPr>
          <w:rFonts w:ascii="Calibri" w:hAnsi="Calibri"/>
          <w:b/>
          <w:color w:val="0F172A"/>
          <w:sz w:val="19"/>
        </w:rPr>
        <w:t>Statistics Foundations 1: The Basics</w:t>
      </w:r>
      <w:r>
        <w:rPr>
          <w:rFonts w:ascii="Calibri" w:hAnsi="Calibri"/>
          <w:i/>
          <w:color w:val="334155"/>
          <w:sz w:val="18"/>
        </w:rPr>
        <w:t xml:space="preserve"> | LinkedIn Learning &amp; NASBA (1.80 CPE Credits, №140940)</w:t>
      </w:r>
      <w:r>
        <w:tab/>
      </w:r>
      <w:r>
        <w:rPr>
          <w:rFonts w:ascii="Calibri" w:hAnsi="Calibri"/>
          <w:b/>
          <w:color w:val="475569"/>
          <w:sz w:val="18"/>
        </w:rPr>
        <w:t>Декабрь 2025</w:t>
      </w:r>
    </w:p>
    <w:p>
      <w:pPr>
        <w:spacing w:before="0" w:after="20" w:line="245" w:lineRule="auto"/>
        <w:ind w:left="259" w:hanging="202"/>
      </w:pPr>
      <w:r>
        <w:rPr>
          <w:rFonts w:ascii="Calibri" w:hAnsi="Calibri"/>
          <w:color w:val="2563EB"/>
          <w:sz w:val="18"/>
        </w:rPr>
        <w:t xml:space="preserve">•  </w:t>
      </w:r>
      <w:r>
        <w:rPr>
          <w:rFonts w:ascii="Calibri" w:hAnsi="Calibri"/>
          <w:color w:val="334155"/>
          <w:sz w:val="17"/>
        </w:rPr>
        <w:t>Аккредитованная программа по описательной статистике, законам распределения, дисперсии и вероятностным моделям для Data Science.</w:t>
      </w:r>
    </w:p>
    <w:p>
      <w:pPr>
        <w:spacing w:before="40" w:after="10" w:line="245" w:lineRule="auto"/>
        <w:tabs>
          <w:tab w:val="right" w:pos="10900"/>
        </w:tabs>
      </w:pPr>
      <w:r>
        <w:rPr>
          <w:rFonts w:ascii="Calibri" w:hAnsi="Calibri"/>
          <w:b/>
          <w:color w:val="0F172A"/>
          <w:sz w:val="19"/>
        </w:rPr>
        <w:t>Международные сертификации по ИИ и карьерным компетенциям</w:t>
      </w:r>
      <w:r>
        <w:rPr>
          <w:rFonts w:ascii="Calibri" w:hAnsi="Calibri"/>
          <w:i/>
          <w:color w:val="334155"/>
          <w:sz w:val="18"/>
        </w:rPr>
        <w:t xml:space="preserve"> | Университет Хельсинки / ASEAN / KNIME / PMI</w:t>
      </w:r>
      <w:r>
        <w:tab/>
      </w:r>
      <w:r>
        <w:rPr>
          <w:rFonts w:ascii="Calibri" w:hAnsi="Calibri"/>
          <w:b/>
          <w:color w:val="475569"/>
          <w:sz w:val="18"/>
        </w:rPr>
        <w:t>2025 – 2026</w:t>
      </w:r>
    </w:p>
    <w:p>
      <w:pPr>
        <w:spacing w:before="0" w:after="20" w:line="245" w:lineRule="auto"/>
        <w:ind w:left="259" w:hanging="202"/>
      </w:pPr>
      <w:r>
        <w:rPr>
          <w:rFonts w:ascii="Calibri" w:hAnsi="Calibri"/>
          <w:color w:val="2563EB"/>
          <w:sz w:val="18"/>
        </w:rPr>
        <w:t xml:space="preserve">•  </w:t>
      </w:r>
      <w:r>
        <w:rPr>
          <w:rFonts w:ascii="Calibri" w:hAnsi="Calibri"/>
          <w:color w:val="334155"/>
          <w:sz w:val="17"/>
        </w:rPr>
        <w:t>Elements of AI for Business (Унив. Хельсинки &amp; MinnaLearn) • AI Career Readiness (Фонд АСЕАН &amp; LinkedIn) • Data Science Non-Technical Skills (KNIME &amp; NASBA 1.6 CPE) • Job Skills (PMI) • First Aid (Edraak).</w:t>
      </w:r>
    </w:p>
    <w:p>
      <w:pPr>
        <w:spacing w:before="70" w:after="30" w:line="240" w:lineRule="auto"/>
        <w:pBdr>
          <w:bottom w:val="single" w:sz="6" w:space="1" w:color="2563EB"/>
        </w:pBdr>
      </w:pPr>
      <w:r>
        <w:rPr>
          <w:rFonts w:ascii="Calibri" w:hAnsi="Calibri"/>
          <w:b/>
          <w:color w:val="1E293B"/>
          <w:sz w:val="20"/>
        </w:rPr>
        <w:t>ТЕХНИЧЕСКИЕ ПРОЕКТЫ И СИСТЕМНАЯ АРХИТЕКТУРА</w:t>
      </w:r>
    </w:p>
    <w:p>
      <w:pPr>
        <w:spacing w:before="40" w:after="10" w:line="245" w:lineRule="auto"/>
        <w:tabs>
          <w:tab w:val="right" w:pos="10900"/>
        </w:tabs>
      </w:pPr>
      <w:r>
        <w:rPr>
          <w:rFonts w:ascii="Calibri" w:hAnsi="Calibri"/>
          <w:b/>
          <w:color w:val="0F172A"/>
          <w:sz w:val="19"/>
        </w:rPr>
        <w:t>Медицинская платформа Souq Elmajde (elmajde.com)</w:t>
      </w:r>
      <w:r>
        <w:rPr>
          <w:rFonts w:ascii="Calibri" w:hAnsi="Calibri"/>
          <w:i/>
          <w:color w:val="334155"/>
          <w:sz w:val="18"/>
        </w:rPr>
        <w:t xml:space="preserve"> | Full-Stack инженер и системный архитектор</w:t>
      </w:r>
      <w:r>
        <w:tab/>
      </w:r>
      <w:r>
        <w:rPr>
          <w:rFonts w:ascii="Calibri" w:hAnsi="Calibri"/>
          <w:b/>
          <w:color w:val="475569"/>
          <w:sz w:val="18"/>
        </w:rPr>
        <w:t>2025 – наст. вр.</w:t>
      </w:r>
    </w:p>
    <w:p>
      <w:pPr>
        <w:spacing w:before="0" w:after="20" w:line="245" w:lineRule="auto"/>
        <w:ind w:left="259" w:hanging="202"/>
      </w:pPr>
      <w:r>
        <w:rPr>
          <w:rFonts w:ascii="Calibri" w:hAnsi="Calibri"/>
          <w:color w:val="2563EB"/>
          <w:sz w:val="18"/>
        </w:rPr>
        <w:t xml:space="preserve">•  </w:t>
      </w:r>
      <w:r>
        <w:rPr>
          <w:rFonts w:ascii="Calibri" w:hAnsi="Calibri"/>
          <w:b/>
          <w:color w:val="1E293B"/>
          <w:sz w:val="18"/>
        </w:rPr>
        <w:t xml:space="preserve">Enterprise-архитектура: </w:t>
      </w:r>
      <w:r>
        <w:rPr>
          <w:rFonts w:ascii="Calibri" w:hAnsi="Calibri"/>
          <w:color w:val="334155"/>
          <w:sz w:val="17"/>
        </w:rPr>
        <w:t>Архитектура: спроектировал и развернул промышленный e-commerce монорепозиторий и ERP-систему (Next.js 15, React 19, TypeScript, PostgreSQL 16, Prisma ORM, Tailwind CSS, Android Native).</w:t>
      </w:r>
    </w:p>
    <w:p>
      <w:pPr>
        <w:spacing w:before="0" w:after="20" w:line="245" w:lineRule="auto"/>
        <w:ind w:left="259" w:hanging="202"/>
      </w:pPr>
      <w:r>
        <w:rPr>
          <w:rFonts w:ascii="Calibri" w:hAnsi="Calibri"/>
          <w:color w:val="2563EB"/>
          <w:sz w:val="18"/>
        </w:rPr>
        <w:t xml:space="preserve">•  </w:t>
      </w:r>
      <w:r>
        <w:rPr>
          <w:rFonts w:ascii="Calibri" w:hAnsi="Calibri"/>
          <w:b/>
          <w:color w:val="1E293B"/>
          <w:sz w:val="18"/>
        </w:rPr>
        <w:t xml:space="preserve">Проектирование БД: </w:t>
      </w:r>
      <w:r>
        <w:rPr>
          <w:rFonts w:ascii="Calibri" w:hAnsi="Calibri"/>
          <w:color w:val="334155"/>
          <w:sz w:val="17"/>
        </w:rPr>
        <w:t>Реляционные БД: спроектировал схему из 25+ моделей в 3NF с неизменяемыми снимками цен заказов, учетом вариаций, авто-оповещениями склада и автоматом расчета маржинальности.</w:t>
      </w:r>
    </w:p>
    <w:p>
      <w:pPr>
        <w:spacing w:before="0" w:after="20" w:line="245" w:lineRule="auto"/>
        <w:ind w:left="259" w:hanging="202"/>
      </w:pPr>
      <w:r>
        <w:rPr>
          <w:rFonts w:ascii="Calibri" w:hAnsi="Calibri"/>
          <w:color w:val="2563EB"/>
          <w:sz w:val="18"/>
        </w:rPr>
        <w:t xml:space="preserve">•  </w:t>
      </w:r>
      <w:r>
        <w:rPr>
          <w:rFonts w:ascii="Calibri" w:hAnsi="Calibri"/>
          <w:b/>
          <w:color w:val="1E293B"/>
          <w:sz w:val="18"/>
        </w:rPr>
        <w:t xml:space="preserve">Логистический движок: </w:t>
      </w:r>
      <w:r>
        <w:rPr>
          <w:rFonts w:ascii="Calibri" w:hAnsi="Calibri"/>
          <w:color w:val="334155"/>
          <w:sz w:val="17"/>
        </w:rPr>
        <w:t>Логистический движок: разработал серверный алгоритм расчета доставки по 27 провинциям Египта с 3 тарифными зонами, сверкой наложенного платежа (COD) и валидацией телефонов.</w:t>
      </w:r>
    </w:p>
    <w:p>
      <w:pPr>
        <w:spacing w:before="0" w:after="20" w:line="245" w:lineRule="auto"/>
        <w:ind w:left="259" w:hanging="202"/>
      </w:pPr>
      <w:r>
        <w:rPr>
          <w:rFonts w:ascii="Calibri" w:hAnsi="Calibri"/>
          <w:color w:val="2563EB"/>
          <w:sz w:val="18"/>
        </w:rPr>
        <w:t xml:space="preserve">•  </w:t>
      </w:r>
      <w:r>
        <w:rPr>
          <w:rFonts w:ascii="Calibri" w:hAnsi="Calibri"/>
          <w:b/>
          <w:color w:val="1E293B"/>
          <w:sz w:val="18"/>
        </w:rPr>
        <w:t xml:space="preserve">Безопасность и DevOps: </w:t>
      </w:r>
      <w:r>
        <w:rPr>
          <w:rFonts w:ascii="Calibri" w:hAnsi="Calibri"/>
          <w:color w:val="334155"/>
          <w:sz w:val="17"/>
        </w:rPr>
        <w:t>Безопасность и DevOps: интегрировал Meta Conversions API (CAPI) с дедупликацией, динамические CSP-нонсы, шифрование AES-256-GCM и пайплайн атомарного деплоя (deploy-atomic.sh).</w:t>
      </w:r>
    </w:p>
    <w:p>
      <w:pPr>
        <w:spacing w:before="70" w:after="30" w:line="240" w:lineRule="auto"/>
        <w:pBdr>
          <w:bottom w:val="single" w:sz="6" w:space="1" w:color="2563EB"/>
        </w:pBdr>
      </w:pPr>
      <w:r>
        <w:rPr>
          <w:rFonts w:ascii="Calibri" w:hAnsi="Calibri"/>
          <w:b/>
          <w:color w:val="1E293B"/>
          <w:sz w:val="20"/>
        </w:rPr>
        <w:t>ВОЛОНТЕРСТВО, ЛИДЕРСТВО И СПОРТ</w:t>
      </w:r>
    </w:p>
    <w:p>
      <w:pPr>
        <w:spacing w:before="40" w:after="10" w:line="245" w:lineRule="auto"/>
        <w:tabs>
          <w:tab w:val="right" w:pos="10900"/>
        </w:tabs>
      </w:pPr>
      <w:r>
        <w:rPr>
          <w:rFonts w:ascii="Calibri" w:hAnsi="Calibri"/>
          <w:b/>
          <w:color w:val="0F172A"/>
          <w:sz w:val="19"/>
        </w:rPr>
        <w:t>Русский дом в Каире (Представительство Россотрудничества)</w:t>
      </w:r>
      <w:r>
        <w:rPr>
          <w:rFonts w:ascii="Calibri" w:hAnsi="Calibri"/>
          <w:i/>
          <w:color w:val="334155"/>
          <w:sz w:val="18"/>
        </w:rPr>
        <w:t xml:space="preserve"> | Координатор мероприятий и логистики</w:t>
      </w:r>
      <w:r>
        <w:tab/>
      </w:r>
      <w:r>
        <w:rPr>
          <w:rFonts w:ascii="Calibri" w:hAnsi="Calibri"/>
          <w:b/>
          <w:color w:val="475569"/>
          <w:sz w:val="18"/>
        </w:rPr>
        <w:t>Июнь 2026</w:t>
      </w:r>
    </w:p>
    <w:p>
      <w:pPr>
        <w:spacing w:before="0" w:after="20" w:line="245" w:lineRule="auto"/>
        <w:ind w:left="259" w:hanging="202"/>
      </w:pPr>
      <w:r>
        <w:rPr>
          <w:rFonts w:ascii="Calibri" w:hAnsi="Calibri"/>
          <w:color w:val="2563EB"/>
          <w:sz w:val="18"/>
        </w:rPr>
        <w:t xml:space="preserve">•  </w:t>
      </w:r>
      <w:r>
        <w:rPr>
          <w:rFonts w:ascii="Calibri" w:hAnsi="Calibri"/>
          <w:color w:val="334155"/>
          <w:sz w:val="17"/>
        </w:rPr>
        <w:t>Официальная благодарность за координацию сценического и медиа-оборудования культурных программ; подготовка турнирных часов, регламента и судейства открытых шахматных чемпионатов.</w:t>
      </w:r>
    </w:p>
    <w:p>
      <w:pPr>
        <w:spacing w:before="40" w:after="10" w:line="245" w:lineRule="auto"/>
        <w:tabs>
          <w:tab w:val="right" w:pos="10900"/>
        </w:tabs>
      </w:pPr>
      <w:r>
        <w:rPr>
          <w:rFonts w:ascii="Calibri" w:hAnsi="Calibri"/>
          <w:b/>
          <w:color w:val="0F172A"/>
          <w:sz w:val="19"/>
        </w:rPr>
        <w:t>Тотальный диктант 2026 и спортивные достижения</w:t>
      </w:r>
      <w:r>
        <w:rPr>
          <w:rFonts w:ascii="Calibri" w:hAnsi="Calibri"/>
          <w:i/>
          <w:color w:val="334155"/>
          <w:sz w:val="18"/>
        </w:rPr>
        <w:t xml:space="preserve"> | Русский дом в Каире / Спортивные клубы</w:t>
      </w:r>
      <w:r>
        <w:tab/>
      </w:r>
      <w:r>
        <w:rPr>
          <w:rFonts w:ascii="Calibri" w:hAnsi="Calibri"/>
          <w:b/>
          <w:color w:val="475569"/>
          <w:sz w:val="18"/>
        </w:rPr>
        <w:t>2023 – 2026</w:t>
      </w:r>
    </w:p>
    <w:p>
      <w:pPr>
        <w:spacing w:before="0" w:after="20" w:line="245" w:lineRule="auto"/>
        <w:ind w:left="259" w:hanging="202"/>
      </w:pPr>
      <w:r>
        <w:rPr>
          <w:rFonts w:ascii="Calibri" w:hAnsi="Calibri"/>
          <w:color w:val="2563EB"/>
          <w:sz w:val="18"/>
        </w:rPr>
        <w:t xml:space="preserve">•  </w:t>
      </w:r>
      <w:r>
        <w:rPr>
          <w:rFonts w:ascii="Calibri" w:hAnsi="Calibri"/>
          <w:color w:val="334155"/>
          <w:sz w:val="17"/>
        </w:rPr>
        <w:t>Сертифицированный участник Международного диктанта 2026 (Москва / Каир). Центральный блокирующий в молодежном волейболе; победа 3:0 в активизационном турнире Аль-Сафа (2023).</w:t>
      </w:r>
    </w:p>
    <w:p>
      <w:pPr>
        <w:spacing w:before="70" w:after="30" w:line="240" w:lineRule="auto"/>
        <w:pBdr>
          <w:bottom w:val="single" w:sz="6" w:space="1" w:color="2563EB"/>
        </w:pBdr>
      </w:pPr>
      <w:r>
        <w:rPr>
          <w:rFonts w:ascii="Calibri" w:hAnsi="Calibri"/>
          <w:b/>
          <w:color w:val="1E293B"/>
          <w:sz w:val="20"/>
        </w:rPr>
        <w:t>КЛЮЧЕВЫЕ НАВЫКИ И КОМПЕТЕНЦИИ</w:t>
      </w:r>
    </w:p>
    <w:p>
      <w:pPr>
        <w:spacing w:before="0" w:after="20" w:line="245" w:lineRule="auto"/>
        <w:ind w:left="259" w:hanging="202"/>
      </w:pPr>
      <w:r>
        <w:rPr>
          <w:rFonts w:ascii="Calibri" w:hAnsi="Calibri"/>
          <w:color w:val="2563EB"/>
          <w:sz w:val="18"/>
        </w:rPr>
        <w:t xml:space="preserve">•  </w:t>
      </w:r>
      <w:r>
        <w:rPr>
          <w:rFonts w:ascii="Calibri" w:hAnsi="Calibri"/>
          <w:b/>
          <w:color w:val="1E293B"/>
          <w:sz w:val="18"/>
        </w:rPr>
        <w:t xml:space="preserve">Языки и фреймворки: </w:t>
      </w:r>
      <w:r>
        <w:rPr>
          <w:rFonts w:ascii="Calibri" w:hAnsi="Calibri"/>
          <w:color w:val="334155"/>
          <w:sz w:val="17"/>
        </w:rPr>
        <w:t>Next.js 15, React 19, TypeScript, JavaScript (ES6+), Node.js, Tailwind CSS, HTML5/CSS3, Python (NumPy, DataCamp Certified).</w:t>
      </w:r>
    </w:p>
    <w:p>
      <w:pPr>
        <w:spacing w:before="0" w:after="20" w:line="245" w:lineRule="auto"/>
        <w:ind w:left="259" w:hanging="202"/>
      </w:pPr>
      <w:r>
        <w:rPr>
          <w:rFonts w:ascii="Calibri" w:hAnsi="Calibri"/>
          <w:color w:val="2563EB"/>
          <w:sz w:val="18"/>
        </w:rPr>
        <w:t xml:space="preserve">•  </w:t>
      </w:r>
      <w:r>
        <w:rPr>
          <w:rFonts w:ascii="Calibri" w:hAnsi="Calibri"/>
          <w:b/>
          <w:color w:val="1E293B"/>
          <w:sz w:val="18"/>
        </w:rPr>
        <w:t xml:space="preserve">Базы данных и аналитика: </w:t>
      </w:r>
      <w:r>
        <w:rPr>
          <w:rFonts w:ascii="Calibri" w:hAnsi="Calibri"/>
          <w:color w:val="334155"/>
          <w:sz w:val="17"/>
        </w:rPr>
        <w:t>PostgreSQL 16, Prisma ORM, профессиональный Google Sheets и Excel (VLOOKUP, Pivot Tables, мат. модели, дашборды).</w:t>
      </w:r>
    </w:p>
    <w:p>
      <w:pPr>
        <w:spacing w:before="0" w:after="20" w:line="245" w:lineRule="auto"/>
        <w:ind w:left="259" w:hanging="202"/>
      </w:pPr>
      <w:r>
        <w:rPr>
          <w:rFonts w:ascii="Calibri" w:hAnsi="Calibri"/>
          <w:color w:val="2563EB"/>
          <w:sz w:val="18"/>
        </w:rPr>
        <w:t xml:space="preserve">•  </w:t>
      </w:r>
      <w:r>
        <w:rPr>
          <w:rFonts w:ascii="Calibri" w:hAnsi="Calibri"/>
          <w:b/>
          <w:color w:val="1E293B"/>
          <w:sz w:val="18"/>
        </w:rPr>
        <w:t xml:space="preserve">Системная инженерия: </w:t>
      </w:r>
      <w:r>
        <w:rPr>
          <w:rFonts w:ascii="Calibri" w:hAnsi="Calibri"/>
          <w:color w:val="334155"/>
          <w:sz w:val="17"/>
        </w:rPr>
        <w:t>Монорепозитории (NPM Workspaces), REST API, Meta Conversions API (CAPI), Git/GitHub, Linux Cloud Hosting, шифрование AES-256-GCM.</w:t>
      </w:r>
    </w:p>
    <w:p>
      <w:pPr>
        <w:spacing w:before="0" w:after="20" w:line="245" w:lineRule="auto"/>
        <w:ind w:left="259" w:hanging="202"/>
      </w:pPr>
      <w:r>
        <w:rPr>
          <w:rFonts w:ascii="Calibri" w:hAnsi="Calibri"/>
          <w:color w:val="2563EB"/>
          <w:sz w:val="18"/>
        </w:rPr>
        <w:t xml:space="preserve">•  </w:t>
      </w:r>
      <w:r>
        <w:rPr>
          <w:rFonts w:ascii="Calibri" w:hAnsi="Calibri"/>
          <w:b/>
          <w:color w:val="1E293B"/>
          <w:sz w:val="18"/>
        </w:rPr>
        <w:t xml:space="preserve">Языки: </w:t>
      </w:r>
      <w:r>
        <w:rPr>
          <w:rFonts w:ascii="Calibri" w:hAnsi="Calibri"/>
          <w:color w:val="334155"/>
          <w:sz w:val="17"/>
        </w:rPr>
        <w:t>Арабский (родной), Английский (профессиональный рабочий), Русский (изучение, A2-B1, целевой академический приоритет).</w:t>
      </w:r>
    </w:p>
    <w:sectPr w:rsidR="00FC693F" w:rsidRPr="0006063C" w:rsidSect="00034616">
      <w:pgSz w:w="12240" w:h="15840"/>
      <w:pgMar w:top="518" w:right="634" w:bottom="518" w:left="6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