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FinPulse 软件设计实验需求基线说明</w:t>
      </w:r>
    </w:p>
    <w:p>
      <w:r>
        <w:t>版本 1.0　日期 2026 年 10 月 12 日</w:t>
      </w:r>
    </w:p>
    <w:p>
      <w:r>
        <w:t>本说明是软件设计实验的独立提交材料。实验 2 全量沿用实验 1 的需求分析文档 v1.4，保留原需求编号、业务规则和验收口径。本文件给出逐项编号对照及设计定位；不重新建立一套需求，也不将未实现设计或未执行验收记为完成。</w:t>
      </w:r>
    </w:p>
    <w:p>
      <w:pPr>
        <w:pStyle w:val="Heading1"/>
      </w:pPr>
      <w:r>
        <w:t>1 基线来源与采用方式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80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基线说明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采用方式</w:t>
            </w:r>
          </w:p>
        </w:tc>
        <w:tc>
          <w:tcPr>
            <w:tcW w:type="dxa" w:w="7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全量沿用实验 1，未删除、重编号、替换或新增产品需求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原始提交包</w:t>
            </w:r>
          </w:p>
        </w:tc>
        <w:tc>
          <w:tcPr>
            <w:tcW w:type="dxa" w:w="7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张鸿瑞_​需求分析报告_​v1.4.zip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原需求正文</w:t>
            </w:r>
          </w:p>
        </w:tc>
        <w:tc>
          <w:tcPr>
            <w:tcW w:type="dxa" w:w="7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张鸿瑞/​01_​需求分析文档.md，及同名 Word 文档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原需求版本及日期</w:t>
            </w:r>
          </w:p>
        </w:tc>
        <w:tc>
          <w:tcPr>
            <w:tcW w:type="dxa" w:w="7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1.4，2026 年 10 月 10 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原实施证据基线</w:t>
            </w:r>
          </w:p>
        </w:tc>
        <w:tc>
          <w:tcPr>
            <w:tcW w:type="dxa" w:w="7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70cbc538bbc5f0abc40697f8e640ec5e41afaea7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本设计代码核对基线</w:t>
            </w:r>
          </w:p>
        </w:tc>
        <w:tc>
          <w:tcPr>
            <w:tcW w:type="dxa" w:w="7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eacc1e5bdded17277cfef54f954485f76134dd83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对应设计文档</w:t>
            </w:r>
          </w:p>
        </w:tc>
        <w:tc>
          <w:tcPr>
            <w:tcW w:type="dxa" w:w="7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01_​软件设计文档，版本 1.0，2026 年 10 月 12 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原文存档</w:t>
            </w:r>
          </w:p>
        </w:tc>
        <w:tc>
          <w:tcPr>
            <w:tcW w:type="dxa" w:w="7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附件/​实验1需求基线/​01_​需求分析文档.md 与 .docx，仅附正文，不附协作记录</w:t>
            </w:r>
          </w:p>
        </w:tc>
      </w:tr>
    </w:tbl>
    <w:p>
      <w:pPr>
        <w:spacing w:after="20"/>
      </w:pPr>
    </w:p>
    <w:p>
      <w:r>
        <w:t>原需求正文原字节存档，校验值见附件中的材料清单。设计文档中关于需求来源的原仓库路径继续有效；压缩包内另提供上述相对路径，使评阅者无需访问仓库即可核对。出现摘要与原文表达差异时，以 v1.4 原文及其验收规则为准。</w:t>
      </w:r>
    </w:p>
    <w:p>
      <w:pPr>
        <w:pStyle w:val="Heading1"/>
      </w:pPr>
      <w:r>
        <w:t>2 功能需求编号对照</w:t>
      </w:r>
    </w:p>
    <w:p>
      <w:r>
        <w:t>FR01–FR20 在实验 2 中全部使用同一编号和同一名称。本表的模块、流程、接口及数据编号是设计定位，不是新的需求编号。所有功能的采用状态均为沿用；已有实现与待实现状态另见设计第 1.2 和第 14.2 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2494"/>
        <w:gridCol w:w="3855"/>
        <w:gridCol w:w="2211"/>
      </w:tblGrid>
      <w:tr>
        <w:trPr>
          <w:cantSplit/>
          <w:tblHeader/>
        </w:trPr>
        <w:tc>
          <w:tcPr>
            <w:tcW w:type="dxa" w:w="130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实验1与实验2原编号</w:t>
            </w:r>
          </w:p>
        </w:tc>
        <w:tc>
          <w:tcPr>
            <w:tcW w:type="dxa" w:w="249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原需求名称</w:t>
            </w:r>
          </w:p>
        </w:tc>
        <w:tc>
          <w:tcPr>
            <w:tcW w:type="dxa" w:w="385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设计定位</w:t>
            </w:r>
          </w:p>
        </w:tc>
        <w:tc>
          <w:tcPr>
            <w:tcW w:type="dxa" w:w="221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原验收及验证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FR01 → FR01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账号与持续会话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M01、UI01、P登录规则、§6.1；D01/​02，I01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AC01，V01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FR02 → FR02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管理员权限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M01、UI06；D01/​04，I01A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AC02，V01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FR03 → FR03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股票检索与自选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M02、P01、UI02；D05/​06/​12，I02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AC03，V02；G03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FR04 → FR04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行情及周期切换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M03、UI01/​03、§3.3；D07，I03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AC04，V03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FR05 → FR05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公司与行业新闻采集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M04/​05、P02/​03；D08/​09/​11，I04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AC05，V04/​10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FR06 → FR06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新闻清洗及去重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M05、P02、UI03；D08，I06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AC06，V04/​14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FR07 → FR07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时间范围复用与增量搜索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M05、P03、§7.4；D09，II03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AC07，V04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FR08 → FR08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结构化 AI 研判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M06、P02、§7.3；D10，I05/​II05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AC08，V05/​14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FR09 → FR09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已有研判的持久化复用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M06、P03、§7.4；D10，II05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AC09，V05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FR10 → FR10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任务进度与全部研判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M04、P02/​04、UI02；D12/​10/​11，I04/​05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AC10，V05/​06；G01/​02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FR11 → FR11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公司概览与分阶段展示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M04、P02、§7.3、UI02/​03；D11，I03/​04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AC11，V06；G04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FR12 → FR12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社区样本分析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M07、P06、UI04；D13，I04 community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AC12，V06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FR13 → FR13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可解释推荐排序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M09、§7.3、UI05；D14，I07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AC13及原细分，V07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FR14 → FR14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个人晨报与日期历史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M09、P05、UI05；D14，I07/​08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AC14，V07；G05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FR15 → FR15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每日共享更新与调度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M10、P05、UI06；D16/​17，I09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AC15，V07/​10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FR16 → FR16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邮件与微信渠道推送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M11、P05、F09/​10、UI05；D15，I08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AC16-01至05，V07/​15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FR17 → FR17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研究问答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M08、P06、UI04；D11，I05 chat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AC17，V01/​05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FR18 → FR18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审计与研究数据导出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M05/​06、UI03、§6.1；D08/​10/​11，I06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AC18，V08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FR19 → FR19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模拟研究演练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M12、P07、UI06；D18/​19，I10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AC19，V08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FR20 → FR20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大盘广度与事后价格观察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M03、P07、UI03；D07/​11，I03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AC20，V03</w:t>
            </w:r>
          </w:p>
        </w:tc>
      </w:tr>
    </w:tbl>
    <w:p>
      <w:pPr>
        <w:spacing w:after="20"/>
      </w:pPr>
    </w:p>
    <w:p>
      <w:pPr>
        <w:pStyle w:val="Heading1"/>
      </w:pPr>
      <w:r>
        <w:t>3 非功能需求编号对照</w:t>
      </w:r>
    </w:p>
    <w:p>
      <w:r>
        <w:t>NF01–NF11 保留原编号、名称和优先级。下列目标沿用实验 1；“目标”不表示本轮已经测量或已通过，尤其不能将原文先验模拟数据当作真实验收结果。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701"/>
        <w:gridCol w:w="4819"/>
        <w:gridCol w:w="2098"/>
      </w:tblGrid>
      <w:tr>
        <w:trPr>
          <w:cantSplit/>
          <w:tblHeader/>
        </w:trPr>
        <w:tc>
          <w:tcPr>
            <w:tcW w:type="dxa" w:w="1247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原编号及优先级</w:t>
            </w:r>
          </w:p>
        </w:tc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原需求名称</w:t>
            </w:r>
          </w:p>
        </w:tc>
        <w:tc>
          <w:tcPr>
            <w:tcW w:type="dxa" w:w="481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沿用目标</w:t>
            </w:r>
          </w:p>
        </w:tc>
        <w:tc>
          <w:tcPr>
            <w:tcW w:type="dxa" w:w="209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设计及验证定位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NF01 → NF01，高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响应性能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B1 下正常请求成功率≥99%；已缓存读取接口 P95≤2 秒；已有行情首屏 P95≤3 秒；研究任务受理 P95≤2 秒；纯缓存研究完成 P95≤5 秒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§3.3、§9.2、G06；V09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NF02 → NF02，高</w:t>
            </w:r>
          </w:p>
        </w:tc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多账号正确性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20 账号同时执行自选与晨报操作，跨账号泄露、丢写和重复私人记录为 0；同日自动更新中的共同股票只执行一份采集工作</w:t>
            </w:r>
          </w:p>
        </w:tc>
        <w:tc>
          <w:tcPr>
            <w:tcW w:type="dxa" w:w="209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§5.4/​5.5、§7.5、G01/​03；V02/​07/​09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NF03 → NF03，高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费用与重复控制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完全命中搜索缓存时对应来源 Search/​Extract 请求为 0；匹配评分模型请求为 0；不超过所设新研判预算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§5.3、§7.4；V04/​05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NF04 → NF04，高</w:t>
            </w:r>
          </w:p>
        </w:tc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故障可见与恢复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注入搜索超时、模型坏 JSON、数据库不可用、发送超时等故障，全部产生失败/​部分完成/​未知状态；不得生成替代数据；重试不覆盖已保存成功结果</w:t>
            </w:r>
          </w:p>
        </w:tc>
        <w:tc>
          <w:tcPr>
            <w:tcW w:type="dxa" w:w="209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§5.8、§10、G02/​05；V10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NF05 → NF05，高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安全与隐私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受保护接口的未登录、越权、无 CSRF 负例全部被拒绝；密码仅存散列；返回值和导出中密钥泄露为 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M01、§6.1、§7.1、§3.2；V01/​08/​12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NF06 → NF06，中</w:t>
            </w:r>
          </w:p>
        </w:tc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易用性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1366×768 与 390×844 视口下关键操作可见、正文无整页横向溢出；5 名目标用户完成登录、自选、查看依据、找全部研判四项，成功率≥90%，每项≤3 分钟</w:t>
            </w:r>
          </w:p>
        </w:tc>
        <w:tc>
          <w:tcPr>
            <w:tcW w:type="dxa" w:w="209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§8；V11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NF07 → NF07，高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可追溯性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100% 有效新闻具备来源链接、有效日期和质量标记；100% 有效研判具备模型/​Prompt 版本和分析时间；排除材料有原因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§7.3、UI03、I06；V08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NF08 → NF08，中</w:t>
            </w:r>
          </w:p>
        </w:tc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可维护与可复现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从干净目录依锁文件安装并完成前端构建和后端离线测试；配置示例无真实秘密；每个新增业务规则有相应验收编号</w:t>
            </w:r>
          </w:p>
        </w:tc>
        <w:tc>
          <w:tcPr>
            <w:tcW w:type="dxa" w:w="209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§4、§6.4、§7.5；V12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NF09 → NF09，高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时序与一致性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3599 秒复用、3600 秒增量、跨午夜裁剪和 7 天半衰期边界均通过；未知日历年份不推断交易日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P03/​P07、§7.3/​7.4；V03/​04/​06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NF10 → NF10，中</w:t>
            </w:r>
          </w:p>
        </w:tc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备份恢复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后续受控运行每日备份数据库，保留最近 7 份；模拟丢失时 30 分钟内恢复，允许数据损失≤24 小时</w:t>
            </w:r>
          </w:p>
        </w:tc>
        <w:tc>
          <w:tcPr>
            <w:tcW w:type="dxa" w:w="209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§10备份恢复、X03；V13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NF11 → NF11，中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材料与模型质量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建立至少 100 条人工标注材料集；有效新闻判定精确率≥90%；逐条抽查 AI 关键事实，无来源支撑的公司数值/​已发生事件断言占比≤5%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§7.3、ADR06、§13；V14</w:t>
            </w:r>
          </w:p>
        </w:tc>
      </w:tr>
    </w:tbl>
    <w:p>
      <w:pPr>
        <w:spacing w:after="20"/>
      </w:pPr>
    </w:p>
    <w:p>
      <w:r>
        <w:t>NF01 继续采用原 B1 基准、请求配比、预热、计时起止、P95 算法及成功率分母。NF06 继续采用两种视口、5 人×4 项首次尝试的分母。NF11 继续区分有效新闻判定与事实断言核查，90% 和 5% 为待批准及待实测的建议阈值。NF10 每日备份与恢复演练属于待建设和待验收要求。</w:t>
      </w:r>
    </w:p>
    <w:p>
      <w:pPr>
        <w:pStyle w:val="Heading1"/>
      </w:pPr>
      <w:r>
        <w:t>4 业务规则编号对照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2494"/>
        <w:gridCol w:w="3855"/>
        <w:gridCol w:w="2211"/>
      </w:tblGrid>
      <w:tr>
        <w:trPr>
          <w:cantSplit/>
          <w:tblHeader/>
        </w:trPr>
        <w:tc>
          <w:tcPr>
            <w:tcW w:type="dxa" w:w="130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实验1与实验2原编号</w:t>
            </w:r>
          </w:p>
        </w:tc>
        <w:tc>
          <w:tcPr>
            <w:tcW w:type="dxa" w:w="249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原规则名称</w:t>
            </w:r>
          </w:p>
        </w:tc>
        <w:tc>
          <w:tcPr>
            <w:tcW w:type="dxa" w:w="385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设计定位</w:t>
            </w:r>
          </w:p>
        </w:tc>
        <w:tc>
          <w:tcPr>
            <w:tcW w:type="dxa" w:w="221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验证定位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BR01 → BR01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数据及分析结果的归属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第7.1、7.2节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V01/​V02/​V07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BR02 → BR02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行情与交易日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第3.3、5.7节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V03/​V08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BR03 → BR03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新闻窗口和搜索缓存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第5.3、7.4节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BR04 → BR04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日期质量与失败降级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第5.2节及F02/​F03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V04/​V10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BR05 → BR05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三种分数的区别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第7.3节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V05/​V06/​V07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BR06 → BR06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晨报推荐算法</w:t>
            </w:r>
          </w:p>
        </w:tc>
        <w:tc>
          <w:tcPr>
            <w:tcW w:type="dxa" w:w="385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第7.3节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BR07 → BR07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推送与自动任务的时间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第5.5节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V07/​V15</w:t>
            </w:r>
          </w:p>
        </w:tc>
      </w:tr>
    </w:tbl>
    <w:p>
      <w:pPr>
        <w:spacing w:after="20"/>
      </w:pPr>
    </w:p>
    <w:p>
      <w:r>
        <w:t>原规则中的关键数值原样保留：上海日期闭区间 [D−N,D]；3599 秒复用、3600 秒增量；单条非零 ±100 分及 5 分步长；公司综合分 7 天半衰期且可为 0；晨报五分项及多样性惩罚；推送明确失败至少间隔 15 分钟、最多实际尝试 3 次，未知结果不自动重发。每天或周一至周五不改称仅交易日。</w:t>
      </w:r>
    </w:p>
    <w:p>
      <w:pPr>
        <w:pStyle w:val="Heading1"/>
      </w:pPr>
      <w:r>
        <w:t>5 验收编号对照</w:t>
      </w:r>
    </w:p>
    <w:p>
      <w:r>
        <w:t>AC01–AC20 是原功能验收组，V01–V15 是设计文档的验证组；二者是覆盖关系，不能将 V 编号替换 AC 编号。非功能验收继续直接以 NF 编号建记录。下列对应关系不宣称已执行。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361"/>
        <w:gridCol w:w="2154"/>
        <w:gridCol w:w="4592"/>
      </w:tblGrid>
      <w:tr>
        <w:trPr>
          <w:cantSplit/>
          <w:tblHeader/>
        </w:trPr>
        <w:tc>
          <w:tcPr>
            <w:tcW w:type="dxa" w:w="1757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原验收组</w:t>
            </w:r>
          </w:p>
        </w:tc>
        <w:tc>
          <w:tcPr>
            <w:tcW w:type="dxa" w:w="136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对应原需求</w:t>
            </w:r>
          </w:p>
        </w:tc>
        <w:tc>
          <w:tcPr>
            <w:tcW w:type="dxa" w:w="215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设计验证组</w:t>
            </w:r>
          </w:p>
        </w:tc>
        <w:tc>
          <w:tcPr>
            <w:tcW w:type="dxa" w:w="459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保留范围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AC01 → AC01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FR01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V01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AC02 → AC02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FR02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V01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AC03 → AC03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FR03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V02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AC04 → AC04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FR04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V03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AC05 → AC05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FR05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V04/​V10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AC06 → AC06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FR06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V04/​V14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AC07 → AC07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FR07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V04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AC08 → AC08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FR08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V05/​V14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AC09 → AC09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FR09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V05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AC10 → AC10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FR10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V05/​V06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AC11 → AC11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FR11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V06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AC12 → AC12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FR12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V06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AC13 → AC13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FR13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AC14 → AC14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FR14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AC15 → AC15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FR15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V07/​V10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AC16 → AC16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FR16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V07/​V15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AC17 → AC17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FR17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V01/​V05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AC18 → AC18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FR18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V08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AC19 → AC19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FR19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V08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AC20 → AC20</w:t>
            </w:r>
          </w:p>
        </w:tc>
        <w:tc>
          <w:tcPr>
            <w:tcW w:type="dxa" w:w="136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FR20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V03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原正常、边界和异常子用例全部保留</w:t>
            </w:r>
          </w:p>
        </w:tc>
      </w:tr>
    </w:tbl>
    <w:p>
      <w:pPr>
        <w:spacing w:after="20"/>
      </w:pPr>
    </w:p>
    <w:p>
      <w:pPr>
        <w:pStyle w:val="Heading2"/>
      </w:pPr>
      <w:r>
        <w:t>5.1 原细分验收编号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5102"/>
        <w:gridCol w:w="2608"/>
      </w:tblGrid>
      <w:tr>
        <w:trPr>
          <w:cantSplit/>
          <w:tblHeader/>
        </w:trPr>
        <w:tc>
          <w:tcPr>
            <w:tcW w:type="dxa" w:w="215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原子用例</w:t>
            </w:r>
          </w:p>
        </w:tc>
        <w:tc>
          <w:tcPr>
            <w:tcW w:type="dxa" w:w="510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沿用内容</w:t>
            </w:r>
          </w:p>
        </w:tc>
        <w:tc>
          <w:tcPr>
            <w:tcW w:type="dxa" w:w="260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对应验证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AC13-01 → AC13-01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单条 A，新版分数 +50；预期：I=20×max(50/​100,0.8)=16；Q=round((30+25+16+20+10)/​105×100,1)=96.2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V07，属于原 AC13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AC13-02 → AC13-02</w:t>
            </w:r>
          </w:p>
        </w:tc>
        <w:tc>
          <w:tcPr>
            <w:tcW w:type="dxa" w:w="51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仅将 A 的分数改为 −50；预期：Q=96.2，与正向样例相同</w:t>
            </w:r>
          </w:p>
        </w:tc>
        <w:tc>
          <w:tcPr>
            <w:tcW w:type="dxa" w:w="26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V07，属于原 AC13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AC13-03 → AC13-03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输入 A、B、C；故意把同公司的 B 放在 A 前；预期：按 A、C、B 返回；rank 为 1、2、3；原始 Q 为 96.2、91.4、96.2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V07，属于原 AC13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AC13-04 → AC13-04</w:t>
            </w:r>
          </w:p>
        </w:tc>
        <w:tc>
          <w:tcPr>
            <w:tcW w:type="dxa" w:w="51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甲公司输入 B、A；乙公司输入 D“乙公司披露资产重组公告”；三者均 Q=96.2；预期：首轮同分按代码和 ID 取 A；之后先 D 再 B，反转输入顺序不改变结果</w:t>
            </w:r>
          </w:p>
        </w:tc>
        <w:tc>
          <w:tcPr>
            <w:tcW w:type="dxa" w:w="26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V07，属于原 AC13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AC13-05 → AC13-05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将 A 日期改为 2026-10-03；预期：a=7 仍在窗口内；F=round(30×exp(−7/​3),1)=2.9；Q=70.4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V07，属于原 AC13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AC13-06 → AC13-06</w:t>
            </w:r>
          </w:p>
        </w:tc>
        <w:tc>
          <w:tcPr>
            <w:tcW w:type="dxa" w:w="51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分别输入 2026-10-02、2026-10-11 和 date_​status=missing 的材料；预期：三者均不进入推荐；recommendations 为空，不补造条目</w:t>
            </w:r>
          </w:p>
        </w:tc>
        <w:tc>
          <w:tcPr>
            <w:tcW w:type="dxa" w:w="26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V07，属于原 AC13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AC16-01 → AC16-01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已成功渠道不重发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V07，服务端行为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AC16-02 → AC16-02</w:t>
            </w:r>
          </w:p>
        </w:tc>
        <w:tc>
          <w:tcPr>
            <w:tcW w:type="dxa" w:w="51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明确失败的间隔与次数</w:t>
            </w:r>
          </w:p>
        </w:tc>
        <w:tc>
          <w:tcPr>
            <w:tcW w:type="dxa" w:w="26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V07，服务端行为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AC16-03 → AC16-03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超时未知不自动重发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V07，服务端行为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AC16-04 → AC16-04</w:t>
            </w:r>
          </w:p>
        </w:tc>
        <w:tc>
          <w:tcPr>
            <w:tcW w:type="dxa" w:w="51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邮件真实收件</w:t>
            </w:r>
          </w:p>
        </w:tc>
        <w:tc>
          <w:tcPr>
            <w:tcW w:type="dxa" w:w="26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V15，真实收件证据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AC16-05 → AC16-05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微信真实收件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V15，真实收件证据</w:t>
            </w:r>
          </w:p>
        </w:tc>
      </w:tr>
    </w:tbl>
    <w:p>
      <w:pPr>
        <w:spacing w:after="20"/>
      </w:pPr>
    </w:p>
    <w:p>
      <w:r>
        <w:t>AC13 的六个子用例和 AC16 的五个子用例保留父子关系。执行中继续使用“通过、失败、未执行、受阻”等原记录口径；任何子用例失败不将整组标为通过。邮件或微信接口受理不能代替 AC16-04/05 的收件证据。</w:t>
      </w:r>
    </w:p>
    <w:p>
      <w:pPr>
        <w:pStyle w:val="Heading1"/>
      </w:pPr>
      <w:r>
        <w:t>6 后续扩展与运行前置编号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989"/>
        <w:gridCol w:w="3175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原编号</w:t>
            </w:r>
          </w:p>
        </w:tc>
        <w:tc>
          <w:tcPr>
            <w:tcW w:type="dxa" w:w="498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原项目</w:t>
            </w:r>
          </w:p>
        </w:tc>
        <w:tc>
          <w:tcPr>
            <w:tcW w:type="dxa" w:w="317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采用方式及设计位置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X01 → X01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显式展示搜索起止日期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保留建议扩展；设计 UI02、第 14.3 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X02a → X02a</w:t>
            </w:r>
          </w:p>
        </w:tc>
        <w:tc>
          <w:tcPr>
            <w:tcW w:type="dxa" w:w="498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交易日历年度维护</w:t>
            </w:r>
          </w:p>
        </w:tc>
        <w:tc>
          <w:tcPr>
            <w:tcW w:type="dxa" w:w="317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保留下一年度运行前置；P07、第 14.3 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X02b → X02b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晨报仅交易日选项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保留建议扩展，依赖 X02a；不得冒充当前每天/​工作周能力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X03 → X03</w:t>
            </w:r>
          </w:p>
        </w:tc>
        <w:tc>
          <w:tcPr>
            <w:tcW w:type="dxa" w:w="498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HTTPS 公开部署和备份恢复</w:t>
            </w:r>
          </w:p>
        </w:tc>
        <w:tc>
          <w:tcPr>
            <w:tcW w:type="dxa" w:w="317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保留广域发布前置；第 3.2、10、14.3 节，NF05/​NF10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X04 → X04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容量和材料质量评估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保留待验收目标；第 9、13、14.3 节，NF01/​NF11</w:t>
            </w:r>
          </w:p>
        </w:tc>
      </w:tr>
    </w:tbl>
    <w:p>
      <w:pPr>
        <w:spacing w:after="20"/>
      </w:pPr>
    </w:p>
    <w:p>
      <w:r>
        <w:t>E、S、H、P 历史来源或证据标识按实验 1 的原语境解释，不改编成需求。特别是实验 1 中的历史反馈 P 编号与本设计的流程 P01–P07 不属于同一命名空间，引用时注明文档和章节。实验 1 的旧 X02 已拆为 X02a/X02b，本设计沿用 v1.4 拆分结果，不另造 X02。</w:t>
      </w:r>
    </w:p>
    <w:p>
      <w:pPr>
        <w:pStyle w:val="Heading1"/>
      </w:pPr>
      <w:r>
        <w:t>7 需求变更声明与技术细化</w:t>
      </w:r>
    </w:p>
    <w:p>
      <w:r>
        <w:t>本版没有对实验 1 产品需求作实质变更，因此不另附一份宣称“已变更需求”的材料。原要求没有删除、放宽、重编号或将目标降格为已实现；设计文档第 14.1 节与本声明一致。尚未采纳中性/拒判评分、严格 168 小时时窗等提议，相关影响已在设计第 14.3 节说明。</w:t>
      </w:r>
    </w:p>
    <w:p>
      <w:r>
        <w:t>接口兼容新增字段、拟新增任务结果接口和 409 冲突响应属于明确写出的技术设计变化，不是当前接口事实。它们仍需要实施和兼容测试；在实现后应更新 API 契约版本和验证记录。以下逐项列出与需求关联的补缺，不使用“需求未改”掩盖接口行为变化。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2835"/>
        <w:gridCol w:w="3798"/>
        <w:gridCol w:w="2268"/>
      </w:tblGrid>
      <w:tr>
        <w:trPr>
          <w:cantSplit/>
          <w:tblHeader/>
        </w:trPr>
        <w:tc>
          <w:tcPr>
            <w:tcW w:type="dxa" w:w="96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设计差距编号</w:t>
            </w:r>
          </w:p>
        </w:tc>
        <w:tc>
          <w:tcPr>
            <w:tcW w:type="dxa" w:w="283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原实现边界</w:t>
            </w:r>
          </w:p>
        </w:tc>
        <w:tc>
          <w:tcPr>
            <w:tcW w:type="dxa" w:w="379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拟补充机制</w:t>
            </w:r>
          </w:p>
        </w:tc>
        <w:tc>
          <w:tcPr>
            <w:tcW w:type="dxa" w:w="226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64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影响的原需求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G01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不同参数任务可能读取同一最新看板；同账号请求可能复用不同参数的活动任务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绑定run及不可变snapshot；拟加I04R与409参数冲突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FR10/​FR11/​FR18，NF02/​NF07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G02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普通任务强制中断后可能遗留running，不自动续做</w:t>
            </w:r>
          </w:p>
        </w:tc>
        <w:tc>
          <w:tcPr>
            <w:tcW w:type="dxa" w:w="379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按实例对账标failed，保留研判供用户重试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FR10，NF04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G03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自选与任务分写，当前依靠执行门和补偿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拟改同事务保存，提交后启动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FR03/​FR10，NF02/​NF04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G04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综合分0的展示状态可能被理解为待研判</w:t>
            </w:r>
          </w:p>
        </w:tc>
        <w:tc>
          <w:tcPr>
            <w:tcW w:type="dxa" w:w="379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区分多空抵消与暂无评分，单条仍禁止0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FR11，NF06；保留BR05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G05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日期晨报/​latest分写；发送未知状态需明确交互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拟事务保存与指针对账，未知不自动重发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FR14/​FR16，NF04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G06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逻辑工作并发不等于外部HTTP并发；没有B1实测</w:t>
            </w:r>
          </w:p>
        </w:tc>
        <w:tc>
          <w:tcPr>
            <w:tcW w:type="dxa" w:w="379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拟增加每源计数、限流和监测后进行压测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 w:eastAsia="宋体"/>
                <w:sz w:val="18"/>
              </w:rPr>
              <w:t>NF01/​NF03/​NF08</w:t>
            </w:r>
          </w:p>
        </w:tc>
      </w:tr>
    </w:tbl>
    <w:p>
      <w:pPr>
        <w:spacing w:after="20"/>
      </w:pPr>
    </w:p>
    <w:p>
      <w:r>
        <w:t>新增 M、I、II、D、UI、P、F、ADR、V、G、A 均为设计标识，不进入实验 1 需求编号序列。C 表示静态核对到当前代码，P 表示待实现方案，T 表示待验收目标。代码存在、结构校验通过、模拟样例达到阈值均不能代替业务验收。</w:t>
      </w:r>
    </w:p>
    <w:p>
      <w:pPr>
        <w:pStyle w:val="Heading1"/>
      </w:pPr>
      <w:r>
        <w:t>8 对照核查与后续变更流程</w:t>
      </w:r>
    </w:p>
    <w:p>
      <w:r>
        <w:t>编号核查覆盖 20 项 FR、11 项 NF、7 项 BR、20 组 AC、5 项 X，以及原 AC13/AC16 的 11 个细分验收编号。对应关系见机器可读附件“需求编号对照.json”，原始文件校验见“材料清单及校验值.json”。检查内容是标识覆盖和材料完整性，不证明实现正确或性能达标。</w:t>
      </w:r>
    </w:p>
    <w:p>
      <w:r>
        <w:t>后续如确需修改需求，每项记录原编号与原文、修改后内容、提出原因、影响的 FR/BR/NF/AC、接口和数据兼容影响、审批及版本、关闭用例。不允许只改页面文字或设计表而不更新查询窗口、缓存身份及验收边界。未批准的修改保持待决，不能覆盖本次基线。</w:t>
      </w:r>
    </w:p>
    <w:p>
      <w:pPr>
        <w:pStyle w:val="Heading1"/>
      </w:pPr>
      <w:r>
        <w:t>9 本次提交材料的证据边界</w:t>
      </w:r>
    </w:p>
    <w:p>
      <w:r>
        <w:t>本包提供设计正文、独立基线说明、实验 1 需求正文存档、图表和静态检查索引。没有重新开展模型调用、真实推送、用户试用、容量压测或备份恢复演练。历史测试记录与本设计的验证计划保持区分。包内不包含 AI 对话、AI 协作记录、人工核实说明、账号信息、运行密钥或真实收件信息。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FinPulse 需求基线说明    版本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黑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