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5AA1C" w14:textId="77777777" w:rsidR="00EA063B" w:rsidRDefault="00000000">
      <w:pPr>
        <w:pStyle w:val="Title"/>
        <w:rPr>
          <w:rFonts w:ascii="Aptos Display" w:hAnsi="Aptos Display"/>
        </w:rPr>
      </w:pPr>
      <w:r w:rsidRPr="00D240EC">
        <w:rPr>
          <w:rFonts w:ascii="Aptos Display" w:hAnsi="Aptos Display"/>
        </w:rPr>
        <w:t>Credit Health and Risk Monitoring Dashboard Report</w:t>
      </w:r>
      <w:r w:rsidR="00EA063B">
        <w:rPr>
          <w:rFonts w:ascii="Aptos Display" w:hAnsi="Aptos Display"/>
        </w:rPr>
        <w:t xml:space="preserve"> </w:t>
      </w:r>
    </w:p>
    <w:p w14:paraId="327EE1F5" w14:textId="0146F51A" w:rsidR="00993558" w:rsidRPr="00D240EC" w:rsidRDefault="00EA063B">
      <w:pPr>
        <w:pStyle w:val="Title"/>
        <w:rPr>
          <w:rFonts w:ascii="Aptos Display" w:hAnsi="Aptos Display"/>
        </w:rPr>
      </w:pPr>
      <w:r>
        <w:rPr>
          <w:rFonts w:ascii="Aptos Display" w:hAnsi="Aptos Display"/>
        </w:rPr>
        <w:t>(By Mohammad Husain)</w:t>
      </w:r>
    </w:p>
    <w:p w14:paraId="48AF45D3" w14:textId="77777777" w:rsidR="00993558" w:rsidRPr="00D240EC" w:rsidRDefault="00000000">
      <w:pPr>
        <w:pStyle w:val="Heading1"/>
        <w:rPr>
          <w:rFonts w:ascii="Aptos Display" w:hAnsi="Aptos Display"/>
        </w:rPr>
      </w:pPr>
      <w:r w:rsidRPr="00D240EC">
        <w:rPr>
          <w:rFonts w:ascii="Aptos Display" w:hAnsi="Aptos Display"/>
        </w:rPr>
        <w:t>1. Problem Statement</w:t>
      </w:r>
    </w:p>
    <w:p w14:paraId="071696FB" w14:textId="77777777" w:rsidR="00993558" w:rsidRPr="00D240EC" w:rsidRDefault="00000000">
      <w:pPr>
        <w:rPr>
          <w:rFonts w:ascii="Aptos Display" w:hAnsi="Aptos Display"/>
        </w:rPr>
      </w:pPr>
      <w:r w:rsidRPr="00D240EC">
        <w:rPr>
          <w:rFonts w:ascii="Aptos Display" w:hAnsi="Aptos Display"/>
        </w:rPr>
        <w:t>Financial institutions face growing challenges in monitoring customer credit health and identifying risk early. Traditional static reporting fails to provide dynamic insights across dimensions such as location, age, employment status, and card type. Missed payments, rising debt-to-income ratios, and credit utilization trends demand a more proactive, data-driven approach for mitigating credit risk.</w:t>
      </w:r>
    </w:p>
    <w:p w14:paraId="08AAE12C" w14:textId="77777777" w:rsidR="00993558" w:rsidRPr="00D240EC" w:rsidRDefault="00000000">
      <w:pPr>
        <w:pStyle w:val="Heading1"/>
        <w:rPr>
          <w:rFonts w:ascii="Aptos Display" w:hAnsi="Aptos Display"/>
        </w:rPr>
      </w:pPr>
      <w:r w:rsidRPr="00D240EC">
        <w:rPr>
          <w:rFonts w:ascii="Aptos Display" w:hAnsi="Aptos Display"/>
        </w:rPr>
        <w:t>2. Solution Overview</w:t>
      </w:r>
    </w:p>
    <w:p w14:paraId="1E8CFB20" w14:textId="77777777" w:rsidR="00993558" w:rsidRPr="00D240EC" w:rsidRDefault="00000000">
      <w:pPr>
        <w:rPr>
          <w:rFonts w:ascii="Aptos Display" w:hAnsi="Aptos Display"/>
        </w:rPr>
      </w:pPr>
      <w:r w:rsidRPr="00D240EC">
        <w:rPr>
          <w:rFonts w:ascii="Aptos Display" w:hAnsi="Aptos Display"/>
        </w:rPr>
        <w:t>This Power BI dashboard provides an interactive platform to visualize and monitor key credit health metrics. It aggregates customer-level credit data and offers insights into delinquency, missed payments, credit score distribution, loan balances, and utilization. By incorporating slicers and dynamic visuals, decision-makers can drill down by geography, card type, and time periods to spot high-risk patterns.</w:t>
      </w:r>
    </w:p>
    <w:p w14:paraId="218ABF90" w14:textId="77777777" w:rsidR="00993558" w:rsidRPr="00D240EC" w:rsidRDefault="00000000">
      <w:pPr>
        <w:pStyle w:val="Heading1"/>
        <w:rPr>
          <w:rFonts w:ascii="Aptos Display" w:hAnsi="Aptos Display"/>
        </w:rPr>
      </w:pPr>
      <w:r w:rsidRPr="00D240EC">
        <w:rPr>
          <w:rFonts w:ascii="Aptos Display" w:hAnsi="Aptos Display"/>
        </w:rPr>
        <w:t>3. Key Insights &amp; Visuals</w:t>
      </w:r>
    </w:p>
    <w:p w14:paraId="62E3AEFB" w14:textId="77777777" w:rsidR="00993558" w:rsidRPr="00D240EC" w:rsidRDefault="00000000">
      <w:pPr>
        <w:rPr>
          <w:rFonts w:ascii="Aptos Display" w:hAnsi="Aptos Display"/>
        </w:rPr>
      </w:pPr>
      <w:r w:rsidRPr="00D240EC">
        <w:rPr>
          <w:rFonts w:ascii="Aptos Display" w:hAnsi="Aptos Display"/>
        </w:rPr>
        <w:t>• Average Credit Score: 578</w:t>
      </w:r>
    </w:p>
    <w:p w14:paraId="53BCD1D0" w14:textId="77777777" w:rsidR="00993558" w:rsidRPr="00D240EC" w:rsidRDefault="00000000">
      <w:pPr>
        <w:rPr>
          <w:rFonts w:ascii="Aptos Display" w:hAnsi="Aptos Display"/>
        </w:rPr>
      </w:pPr>
      <w:r w:rsidRPr="00D240EC">
        <w:rPr>
          <w:rFonts w:ascii="Aptos Display" w:hAnsi="Aptos Display"/>
        </w:rPr>
        <w:t>• Average Credit Utilization: 49%</w:t>
      </w:r>
    </w:p>
    <w:p w14:paraId="0DC9F15B" w14:textId="77777777" w:rsidR="00993558" w:rsidRPr="00D240EC" w:rsidRDefault="00000000">
      <w:pPr>
        <w:rPr>
          <w:rFonts w:ascii="Aptos Display" w:hAnsi="Aptos Display"/>
        </w:rPr>
      </w:pPr>
      <w:r w:rsidRPr="00D240EC">
        <w:rPr>
          <w:rFonts w:ascii="Aptos Display" w:hAnsi="Aptos Display"/>
        </w:rPr>
        <w:t>• High Risk Customers Identified: 35</w:t>
      </w:r>
    </w:p>
    <w:p w14:paraId="173CECE7" w14:textId="77777777" w:rsidR="00993558" w:rsidRPr="00D240EC" w:rsidRDefault="00000000">
      <w:pPr>
        <w:rPr>
          <w:rFonts w:ascii="Aptos Display" w:hAnsi="Aptos Display"/>
        </w:rPr>
      </w:pPr>
      <w:r w:rsidRPr="00D240EC">
        <w:rPr>
          <w:rFonts w:ascii="Aptos Display" w:hAnsi="Aptos Display"/>
        </w:rPr>
        <w:t>• Total Loan Balance: $170M</w:t>
      </w:r>
    </w:p>
    <w:p w14:paraId="17592047" w14:textId="77777777" w:rsidR="00993558" w:rsidRPr="00D240EC" w:rsidRDefault="00000000">
      <w:pPr>
        <w:rPr>
          <w:rFonts w:ascii="Aptos Display" w:hAnsi="Aptos Display"/>
        </w:rPr>
      </w:pPr>
      <w:r w:rsidRPr="00D240EC">
        <w:rPr>
          <w:rFonts w:ascii="Aptos Display" w:hAnsi="Aptos Display"/>
        </w:rPr>
        <w:t>• Delinquency is most common among unemployed and self-employed segments.</w:t>
      </w:r>
    </w:p>
    <w:p w14:paraId="51380CC6" w14:textId="77777777" w:rsidR="00993558" w:rsidRPr="00D240EC" w:rsidRDefault="00000000">
      <w:pPr>
        <w:rPr>
          <w:rFonts w:ascii="Aptos Display" w:hAnsi="Aptos Display"/>
        </w:rPr>
      </w:pPr>
      <w:r w:rsidRPr="00D240EC">
        <w:rPr>
          <w:rFonts w:ascii="Aptos Display" w:hAnsi="Aptos Display"/>
        </w:rPr>
        <w:t>• Cities like Chicago and Phoenix report the highest number of missed payments.</w:t>
      </w:r>
    </w:p>
    <w:p w14:paraId="6E4EDE9F" w14:textId="77777777" w:rsidR="00993558" w:rsidRPr="00D240EC" w:rsidRDefault="00000000">
      <w:pPr>
        <w:rPr>
          <w:rFonts w:ascii="Aptos Display" w:hAnsi="Aptos Display"/>
        </w:rPr>
      </w:pPr>
      <w:r w:rsidRPr="00D240EC">
        <w:rPr>
          <w:rFonts w:ascii="Aptos Display" w:hAnsi="Aptos Display"/>
        </w:rPr>
        <w:t>• A weak correlation observed between high credit utilization and low credit scores, indicating potential risk.</w:t>
      </w:r>
    </w:p>
    <w:p w14:paraId="62BF59AB" w14:textId="77777777" w:rsidR="00993558" w:rsidRPr="00D240EC" w:rsidRDefault="00000000">
      <w:pPr>
        <w:pStyle w:val="Heading1"/>
        <w:rPr>
          <w:rFonts w:ascii="Aptos Display" w:hAnsi="Aptos Display"/>
        </w:rPr>
      </w:pPr>
      <w:r w:rsidRPr="00D240EC">
        <w:rPr>
          <w:rFonts w:ascii="Aptos Display" w:hAnsi="Aptos Display"/>
        </w:rPr>
        <w:t>4. Dashboard Components</w:t>
      </w:r>
    </w:p>
    <w:p w14:paraId="61DFE224" w14:textId="77777777" w:rsidR="00993558" w:rsidRPr="00D240EC" w:rsidRDefault="00000000">
      <w:pPr>
        <w:rPr>
          <w:rFonts w:ascii="Aptos Display" w:hAnsi="Aptos Display"/>
        </w:rPr>
      </w:pPr>
      <w:r w:rsidRPr="00D240EC">
        <w:rPr>
          <w:rFonts w:ascii="Aptos Display" w:hAnsi="Aptos Display"/>
        </w:rPr>
        <w:t>• KPI Cards – Provide instant metrics on credit score, utilization, loan balance, and risk count.</w:t>
      </w:r>
      <w:r w:rsidRPr="00D240EC">
        <w:rPr>
          <w:rFonts w:ascii="Aptos Display" w:hAnsi="Aptos Display"/>
        </w:rPr>
        <w:br/>
        <w:t>• Scatter Plots – Show correlation between credit behavior metrics like Credit Score vs Utilization.</w:t>
      </w:r>
      <w:r w:rsidRPr="00D240EC">
        <w:rPr>
          <w:rFonts w:ascii="Aptos Display" w:hAnsi="Aptos Display"/>
        </w:rPr>
        <w:br/>
      </w:r>
      <w:r w:rsidRPr="00D240EC">
        <w:rPr>
          <w:rFonts w:ascii="Aptos Display" w:hAnsi="Aptos Display"/>
        </w:rPr>
        <w:lastRenderedPageBreak/>
        <w:t>• Line Charts – Visualize trends like Loan Balance across Age.</w:t>
      </w:r>
      <w:r w:rsidRPr="00D240EC">
        <w:rPr>
          <w:rFonts w:ascii="Aptos Display" w:hAnsi="Aptos Display"/>
        </w:rPr>
        <w:br/>
        <w:t>• Bar Charts – Display distributions and sums such as Missed Payments by Age or City.</w:t>
      </w:r>
      <w:r w:rsidRPr="00D240EC">
        <w:rPr>
          <w:rFonts w:ascii="Aptos Display" w:hAnsi="Aptos Display"/>
        </w:rPr>
        <w:br/>
        <w:t>• Pie/Donut Charts – Offer distribution view of card types and associated payment behaviors.</w:t>
      </w:r>
      <w:r w:rsidRPr="00D240EC">
        <w:rPr>
          <w:rFonts w:ascii="Aptos Display" w:hAnsi="Aptos Display"/>
        </w:rPr>
        <w:br/>
        <w:t>• Slicers – Allow dynamic filtering by Location, Card Type, and Month.</w:t>
      </w:r>
    </w:p>
    <w:p w14:paraId="64F363EE" w14:textId="77777777" w:rsidR="00993558" w:rsidRPr="00D240EC" w:rsidRDefault="00000000">
      <w:pPr>
        <w:pStyle w:val="Heading1"/>
        <w:rPr>
          <w:rFonts w:ascii="Aptos Display" w:hAnsi="Aptos Display"/>
        </w:rPr>
      </w:pPr>
      <w:r w:rsidRPr="00D240EC">
        <w:rPr>
          <w:rFonts w:ascii="Aptos Display" w:hAnsi="Aptos Display"/>
        </w:rPr>
        <w:t>5. Future Impact &amp; Recommendations</w:t>
      </w:r>
    </w:p>
    <w:p w14:paraId="684D8E08" w14:textId="77777777" w:rsidR="00993558" w:rsidRDefault="00000000">
      <w:pPr>
        <w:rPr>
          <w:rFonts w:ascii="Aptos Display" w:hAnsi="Aptos Display"/>
        </w:rPr>
      </w:pPr>
      <w:r w:rsidRPr="00D240EC">
        <w:rPr>
          <w:rFonts w:ascii="Aptos Display" w:hAnsi="Aptos Display"/>
        </w:rPr>
        <w:t>Implementing this dashboard will enhance early risk detection and enable focused interventions. Future enhancements may include machine learning-based risk predictions, integration with real-time data sources, and customer segmentation for proactive credit strategy. This dashboard will serve as a core monitoring tool for financial risk teams and credit analysts.</w:t>
      </w:r>
    </w:p>
    <w:p w14:paraId="430C62A0" w14:textId="6C8A7AEB" w:rsidR="009F3888" w:rsidRPr="00D240EC" w:rsidRDefault="009F3888" w:rsidP="009F3888">
      <w:pPr>
        <w:pStyle w:val="Heading1"/>
        <w:rPr>
          <w:rFonts w:ascii="Aptos Display" w:hAnsi="Aptos Display"/>
        </w:rPr>
      </w:pPr>
      <w:r>
        <w:rPr>
          <w:rFonts w:ascii="Aptos Display" w:hAnsi="Aptos Display"/>
        </w:rPr>
        <w:t>6</w:t>
      </w:r>
      <w:r w:rsidRPr="00D240EC">
        <w:rPr>
          <w:rFonts w:ascii="Aptos Display" w:hAnsi="Aptos Display"/>
        </w:rPr>
        <w:t xml:space="preserve">. </w:t>
      </w:r>
      <w:r>
        <w:rPr>
          <w:rFonts w:ascii="Aptos Display" w:hAnsi="Aptos Display"/>
        </w:rPr>
        <w:t>Dashboard</w:t>
      </w:r>
    </w:p>
    <w:p w14:paraId="5D5C036D" w14:textId="42E4BFD3" w:rsidR="00D240EC" w:rsidRPr="00D240EC" w:rsidRDefault="00D240EC">
      <w:pPr>
        <w:rPr>
          <w:rFonts w:ascii="Aptos Display" w:hAnsi="Aptos Display"/>
        </w:rPr>
      </w:pPr>
      <w:r>
        <w:rPr>
          <w:rFonts w:ascii="Aptos Display" w:hAnsi="Aptos Display"/>
          <w:noProof/>
        </w:rPr>
        <w:drawing>
          <wp:inline distT="0" distB="0" distL="0" distR="0" wp14:anchorId="5C9FD798" wp14:editId="500605AA">
            <wp:extent cx="6477000" cy="3954780"/>
            <wp:effectExtent l="0" t="0" r="0" b="7620"/>
            <wp:docPr id="187163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33510" name="Picture 1871633510"/>
                    <pic:cNvPicPr/>
                  </pic:nvPicPr>
                  <pic:blipFill>
                    <a:blip r:embed="rId6"/>
                    <a:stretch>
                      <a:fillRect/>
                    </a:stretch>
                  </pic:blipFill>
                  <pic:spPr>
                    <a:xfrm>
                      <a:off x="0" y="0"/>
                      <a:ext cx="6485098" cy="3959725"/>
                    </a:xfrm>
                    <a:prstGeom prst="rect">
                      <a:avLst/>
                    </a:prstGeom>
                  </pic:spPr>
                </pic:pic>
              </a:graphicData>
            </a:graphic>
          </wp:inline>
        </w:drawing>
      </w:r>
    </w:p>
    <w:sectPr w:rsidR="00D240EC" w:rsidRPr="00D240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546626">
    <w:abstractNumId w:val="8"/>
  </w:num>
  <w:num w:numId="2" w16cid:durableId="1002898034">
    <w:abstractNumId w:val="6"/>
  </w:num>
  <w:num w:numId="3" w16cid:durableId="5982615">
    <w:abstractNumId w:val="5"/>
  </w:num>
  <w:num w:numId="4" w16cid:durableId="1929539985">
    <w:abstractNumId w:val="4"/>
  </w:num>
  <w:num w:numId="5" w16cid:durableId="2039350892">
    <w:abstractNumId w:val="7"/>
  </w:num>
  <w:num w:numId="6" w16cid:durableId="496195142">
    <w:abstractNumId w:val="3"/>
  </w:num>
  <w:num w:numId="7" w16cid:durableId="251403251">
    <w:abstractNumId w:val="2"/>
  </w:num>
  <w:num w:numId="8" w16cid:durableId="1222404728">
    <w:abstractNumId w:val="1"/>
  </w:num>
  <w:num w:numId="9" w16cid:durableId="26778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3558"/>
    <w:rsid w:val="009F3888"/>
    <w:rsid w:val="00AA1D8D"/>
    <w:rsid w:val="00B47730"/>
    <w:rsid w:val="00CB0664"/>
    <w:rsid w:val="00D240EC"/>
    <w:rsid w:val="00EA063B"/>
    <w:rsid w:val="00EE6B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45CD0"/>
  <w14:defaultImageDpi w14:val="300"/>
  <w15:docId w15:val="{C964F8BF-1A17-40EE-B8CA-A724C6465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Husain Siddiqui</cp:lastModifiedBy>
  <cp:revision>4</cp:revision>
  <dcterms:created xsi:type="dcterms:W3CDTF">2013-12-23T23:15:00Z</dcterms:created>
  <dcterms:modified xsi:type="dcterms:W3CDTF">2025-07-20T09:33:00Z</dcterms:modified>
  <cp:category/>
</cp:coreProperties>
</file>