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STUDY PROTOCOL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Single-Dose Pharmacokinetic Study of Theophylline</w:t>
      </w:r>
    </w:p>
    <w:p>
      <w:pPr>
        <w:spacing w:after="400"/>
        <w:jc w:val="center"/>
      </w:pPr>
      <w:r>
        <w:rPr>
          <w:sz w:val="24"/>
          <w:szCs w:val="24"/>
        </w:rPr>
        <w:t xml:space="preserve">Following Intravenous Administration in Healthy Adult Subjects</w:t>
      </w:r>
    </w:p>
    <w:p>
      <w:pPr>
        <w:spacing w:after="100"/>
      </w:pPr>
      <w:r>
        <w:rPr>
          <w:b/>
          <w:bCs/>
        </w:rPr>
        <w:t xml:space="preserve">Protocol Number: </w:t>
      </w:r>
      <w:r>
        <w:t xml:space="preserve">THEO-PK-2024-001</w:t>
      </w:r>
    </w:p>
    <w:p>
      <w:pPr>
        <w:spacing w:after="100"/>
      </w:pPr>
      <w:r>
        <w:rPr>
          <w:b/>
          <w:bCs/>
        </w:rPr>
        <w:t xml:space="preserve">Sponsor: </w:t>
      </w:r>
      <w:r>
        <w:t xml:space="preserve">PharmaCo Research Inc.</w:t>
      </w:r>
    </w:p>
    <w:p>
      <w:pPr>
        <w:spacing w:after="100"/>
      </w:pPr>
      <w:r>
        <w:rPr>
          <w:b/>
          <w:bCs/>
        </w:rPr>
        <w:t xml:space="preserve">Test Facility: </w:t>
      </w:r>
      <w:r>
        <w:t xml:space="preserve">ABC Clinical Research Center</w:t>
      </w:r>
    </w:p>
    <w:p>
      <w:pPr>
        <w:spacing w:after="400"/>
      </w:pPr>
      <w:r>
        <w:rPr>
          <w:b/>
          <w:bCs/>
        </w:rPr>
        <w:t xml:space="preserve">Test Facility Study Number: </w:t>
      </w:r>
      <w:r>
        <w:t xml:space="preserve">CRC-2024-0156</w:t>
      </w:r>
    </w:p>
    <w:p>
      <w:pPr>
        <w:pStyle w:val="Heading1"/>
        <w:spacing w:before="400" w:after="200"/>
      </w:pPr>
      <w:r>
        <w:t xml:space="preserve">1. INTRODUCTION AND BACKGROUND</w:t>
      </w:r>
    </w:p>
    <w:p>
      <w:pPr>
        <w:spacing w:after="200"/>
      </w:pPr>
      <w:r>
        <w:t xml:space="preserve">Theophylline is a methylxanthine drug used in the treatment of respiratory diseases such as chronic obstructive pulmonary disease (COPD) and asthma. It acts as a bronchodilator and has been used clinically for decades. Understanding its pharmacokinetic profile is essential for optimal dosing and therapeutic drug monitoring.</w:t>
      </w:r>
    </w:p>
    <w:p>
      <w:pPr>
        <w:spacing w:after="200"/>
      </w:pPr>
      <w:r>
        <w:t xml:space="preserve">This study is designed to characterize the pharmacokinetic profile of theophylline following a single intravenous dose administration in healthy adult subjects under controlled conditions.</w:t>
      </w:r>
    </w:p>
    <w:p>
      <w:pPr>
        <w:pStyle w:val="Heading1"/>
        <w:spacing w:before="400" w:after="200"/>
      </w:pPr>
      <w:r>
        <w:t xml:space="preserve">2. STUDY OBJECTIVES</w:t>
      </w:r>
    </w:p>
    <w:p>
      <w:pPr>
        <w:pStyle w:val="Heading2"/>
        <w:spacing w:before="200" w:after="100"/>
      </w:pPr>
      <w:r>
        <w:t xml:space="preserve">2.1 Primary Objective</w:t>
      </w:r>
    </w:p>
    <w:p>
      <w:pPr>
        <w:spacing w:after="200"/>
      </w:pPr>
      <w:r>
        <w:t xml:space="preserve">To characterize the pharmacokinetic profile of theophylline following a single 320 mg intravenous dose administration in healthy adult subjects.</w:t>
      </w:r>
    </w:p>
    <w:p>
      <w:pPr>
        <w:pStyle w:val="Heading2"/>
        <w:spacing w:before="200" w:after="100"/>
      </w:pPr>
      <w:r>
        <w:t xml:space="preserve">2.2 Secondary Objectives</w:t>
      </w:r>
    </w:p>
    <w:p>
      <w:pPr>
        <w:spacing w:after="50"/>
      </w:pPr>
      <w:r>
        <w:t xml:space="preserve">• To evaluate the safety and tolerability of theophylline</w:t>
      </w:r>
    </w:p>
    <w:p>
      <w:pPr>
        <w:spacing w:after="50"/>
      </w:pPr>
      <w:r>
        <w:t xml:space="preserve">• To determine key pharmacokinetic parameters including Cmax, Tmax, AUC, t½, CL, and Vd</w:t>
      </w:r>
    </w:p>
    <w:p>
      <w:pPr>
        <w:spacing w:after="200"/>
      </w:pPr>
      <w:r>
        <w:t xml:space="preserve">• To assess inter-subject variability in pharmacokinetic parameters</w:t>
      </w:r>
    </w:p>
    <w:p>
      <w:pPr>
        <w:pStyle w:val="Heading1"/>
        <w:spacing w:before="400" w:after="200"/>
      </w:pPr>
      <w:r>
        <w:t xml:space="preserve">3. STUDY DESIGN</w:t>
      </w:r>
    </w:p>
    <w:p>
      <w:pPr>
        <w:spacing w:after="100"/>
      </w:pPr>
      <w:r>
        <w:rPr>
          <w:b/>
          <w:bCs/>
        </w:rPr>
        <w:t xml:space="preserve">Study Type: </w:t>
      </w:r>
      <w:r>
        <w:t xml:space="preserve">Open-label, single-dose pharmacokinetic study</w:t>
      </w:r>
    </w:p>
    <w:p>
      <w:pPr>
        <w:spacing w:after="100"/>
      </w:pPr>
      <w:r>
        <w:rPr>
          <w:b/>
          <w:bCs/>
        </w:rPr>
        <w:t xml:space="preserve">Number of Subjects: </w:t>
      </w:r>
      <w:r>
        <w:t xml:space="preserve">12 healthy adult volunteers (6 male, 6 female)</w:t>
      </w:r>
    </w:p>
    <w:p>
      <w:pPr>
        <w:spacing w:after="100"/>
      </w:pPr>
      <w:r>
        <w:rPr>
          <w:b/>
          <w:bCs/>
        </w:rPr>
        <w:t xml:space="preserve">Age Range: </w:t>
      </w:r>
      <w:r>
        <w:t xml:space="preserve">18-55 years</w:t>
      </w:r>
    </w:p>
    <w:p>
      <w:pPr>
        <w:spacing w:after="200"/>
      </w:pPr>
      <w:r>
        <w:rPr>
          <w:b/>
          <w:bCs/>
        </w:rPr>
        <w:t xml:space="preserve">BMI Range: </w:t>
      </w:r>
      <w:r>
        <w:t xml:space="preserve">18.5-30.0 kg/m²</w:t>
      </w:r>
    </w:p>
    <w:p>
      <w:pPr>
        <w:pStyle w:val="Heading1"/>
        <w:spacing w:before="400" w:after="200"/>
      </w:pPr>
      <w:r>
        <w:t xml:space="preserve">4. TEST ARTICLE</w:t>
      </w:r>
    </w:p>
    <w:p>
      <w:pPr>
        <w:spacing w:after="100"/>
      </w:pPr>
      <w:r>
        <w:rPr>
          <w:b/>
          <w:bCs/>
        </w:rPr>
        <w:t xml:space="preserve">Drug Name: </w:t>
      </w:r>
      <w:r>
        <w:t xml:space="preserve">Theophylline</w:t>
      </w:r>
    </w:p>
    <w:p>
      <w:pPr>
        <w:spacing w:after="100"/>
      </w:pPr>
      <w:r>
        <w:rPr>
          <w:b/>
          <w:bCs/>
        </w:rPr>
        <w:t xml:space="preserve">Formulation: </w:t>
      </w:r>
      <w:r>
        <w:t xml:space="preserve">Solution for injection (25 mg/mL)</w:t>
      </w:r>
    </w:p>
    <w:p>
      <w:pPr>
        <w:spacing w:after="100"/>
      </w:pPr>
      <w:r>
        <w:rPr>
          <w:b/>
          <w:bCs/>
        </w:rPr>
        <w:t xml:space="preserve">Dose: </w:t>
      </w:r>
      <w:r>
        <w:t xml:space="preserve">320 mg (administered as 12.8 mL IV infusion)</w:t>
      </w:r>
    </w:p>
    <w:p>
      <w:pPr>
        <w:spacing w:after="100"/>
      </w:pPr>
      <w:r>
        <w:rPr>
          <w:b/>
          <w:bCs/>
        </w:rPr>
        <w:t xml:space="preserve">Route of Administration: </w:t>
      </w:r>
      <w:r>
        <w:t xml:space="preserve">Intravenous (IV)</w:t>
      </w:r>
    </w:p>
    <w:p>
      <w:pPr>
        <w:spacing w:after="100"/>
      </w:pPr>
      <w:r>
        <w:rPr>
          <w:b/>
          <w:bCs/>
        </w:rPr>
        <w:t xml:space="preserve">Infusion Duration: </w:t>
      </w:r>
      <w:r>
        <w:t xml:space="preserve">20 minutes</w:t>
      </w:r>
    </w:p>
    <w:p>
      <w:pPr>
        <w:spacing w:after="200"/>
      </w:pPr>
      <w:r>
        <w:rPr>
          <w:b/>
          <w:bCs/>
        </w:rPr>
        <w:t xml:space="preserve">Dosing Regimen: </w:t>
      </w:r>
      <w:r>
        <w:t xml:space="preserve">Single dose on Day 1</w:t>
      </w:r>
    </w:p>
    <w:p>
      <w:pPr>
        <w:pStyle w:val="Heading1"/>
        <w:spacing w:before="400" w:after="200"/>
      </w:pPr>
      <w:r>
        <w:t xml:space="preserve">5. SAMPLE COLLECTION</w:t>
      </w:r>
    </w:p>
    <w:p>
      <w:pPr>
        <w:spacing w:after="100"/>
      </w:pPr>
      <w:r>
        <w:t xml:space="preserve">Blood samples (4 mL) for pharmacokinetic analysis will be collected into EDTA tubes at the following timepoints:</w:t>
      </w:r>
    </w:p>
    <w:p>
      <w:pPr>
        <w:spacing w:after="50"/>
      </w:pPr>
      <w:r>
        <w:t xml:space="preserve">• Pre-dose (0 h)</w:t>
      </w:r>
    </w:p>
    <w:p>
      <w:pPr>
        <w:spacing w:after="100"/>
      </w:pPr>
      <w:r>
        <w:t xml:space="preserve">• 0.25, 0.5, 1, 2, 4, 8, 12, and 24 hours post-dose</w:t>
      </w:r>
    </w:p>
    <w:p>
      <w:pPr>
        <w:spacing w:after="100"/>
      </w:pPr>
      <w:r>
        <w:rPr>
          <w:b/>
          <w:bCs/>
        </w:rPr>
        <w:t xml:space="preserve">Total blood volume: </w:t>
      </w:r>
      <w:r>
        <w:t xml:space="preserve">36 mL per subject</w:t>
      </w:r>
    </w:p>
    <w:p>
      <w:pPr>
        <w:spacing w:after="200"/>
      </w:pPr>
      <w:r>
        <w:rPr>
          <w:b/>
          <w:bCs/>
        </w:rPr>
        <w:t xml:space="preserve">Matrix: </w:t>
      </w:r>
      <w:r>
        <w:t xml:space="preserve">Plasma</w:t>
      </w:r>
    </w:p>
    <w:p>
      <w:pPr>
        <w:pStyle w:val="Heading1"/>
        <w:spacing w:before="400" w:after="200"/>
      </w:pPr>
      <w:r>
        <w:t xml:space="preserve">6. BIOANALYTICAL METHODS</w:t>
      </w:r>
    </w:p>
    <w:p>
      <w:pPr>
        <w:spacing w:after="100"/>
      </w:pPr>
      <w:r>
        <w:t xml:space="preserve">Plasma theophylline concentrations will be determined using a validated LC-MS/MS method.</w:t>
      </w:r>
    </w:p>
    <w:p>
      <w:pPr>
        <w:spacing w:after="50"/>
      </w:pPr>
      <w:r>
        <w:rPr>
          <w:b/>
          <w:bCs/>
        </w:rPr>
        <w:t xml:space="preserve">Analyte: </w:t>
      </w:r>
      <w:r>
        <w:t xml:space="preserve">Theophylline</w:t>
      </w:r>
    </w:p>
    <w:p>
      <w:pPr>
        <w:spacing w:after="50"/>
      </w:pPr>
      <w:r>
        <w:rPr>
          <w:b/>
          <w:bCs/>
        </w:rPr>
        <w:t xml:space="preserve">Matrix: </w:t>
      </w:r>
      <w:r>
        <w:t xml:space="preserve">Human plasma (EDTA)</w:t>
      </w:r>
    </w:p>
    <w:p>
      <w:pPr>
        <w:spacing w:after="50"/>
      </w:pPr>
      <w:r>
        <w:rPr>
          <w:b/>
          <w:bCs/>
        </w:rPr>
        <w:t xml:space="preserve">LLOQ: </w:t>
      </w:r>
      <w:r>
        <w:t xml:space="preserve">0.1 mg/L</w:t>
      </w:r>
    </w:p>
    <w:p>
      <w:pPr>
        <w:spacing w:after="200"/>
      </w:pPr>
      <w:r>
        <w:rPr>
          <w:b/>
          <w:bCs/>
        </w:rPr>
        <w:t xml:space="preserve">Calibration Range: </w:t>
      </w:r>
      <w:r>
        <w:t xml:space="preserve">0.1 - 20.0 mg/L</w:t>
      </w:r>
    </w:p>
    <w:p>
      <w:pPr>
        <w:pStyle w:val="Heading1"/>
        <w:spacing w:before="400" w:after="200"/>
      </w:pPr>
      <w:r>
        <w:t xml:space="preserve">7. PHARMACOKINETIC ANALYSIS</w:t>
      </w:r>
    </w:p>
    <w:p>
      <w:pPr>
        <w:spacing w:after="100"/>
      </w:pPr>
      <w:r>
        <w:t xml:space="preserve">Non-compartmental analysis (NCA) will be performed using Phoenix WinNonlin (version 8.3). The following pharmacokinetic parameters will be calculated:</w:t>
      </w:r>
    </w:p>
    <w:p>
      <w:pPr>
        <w:spacing w:after="50"/>
      </w:pPr>
      <w:r>
        <w:t xml:space="preserve">• Cmax - Maximum observed plasma concentration</w:t>
      </w:r>
    </w:p>
    <w:p>
      <w:pPr>
        <w:spacing w:after="50"/>
      </w:pPr>
      <w:r>
        <w:t xml:space="preserve">• Tmax - Time to maximum plasma concentration</w:t>
      </w:r>
    </w:p>
    <w:p>
      <w:pPr>
        <w:spacing w:after="50"/>
      </w:pPr>
      <w:r>
        <w:t xml:space="preserve">• AUClast - Area under the concentration-time curve to last measurable concentration</w:t>
      </w:r>
    </w:p>
    <w:p>
      <w:pPr>
        <w:spacing w:after="50"/>
      </w:pPr>
      <w:r>
        <w:t xml:space="preserve">• AUCinf - Area under the concentration-time curve extrapolated to infinity</w:t>
      </w:r>
    </w:p>
    <w:p>
      <w:pPr>
        <w:spacing w:after="50"/>
      </w:pPr>
      <w:r>
        <w:t xml:space="preserve">• t½ - Terminal elimination half-life (reported only when R² ≥ 0.80)</w:t>
      </w:r>
    </w:p>
    <w:p>
      <w:pPr>
        <w:spacing w:after="50"/>
      </w:pPr>
      <w:r>
        <w:t xml:space="preserve">• CL - Total body clearance</w:t>
      </w:r>
    </w:p>
    <w:p>
      <w:pPr>
        <w:spacing w:after="200"/>
      </w:pPr>
      <w:r>
        <w:t xml:space="preserve">• Vz - Volume of distribution during terminal phase</w:t>
      </w:r>
    </w:p>
    <w:p>
      <w:pPr>
        <w:pStyle w:val="Heading1"/>
        <w:spacing w:before="400" w:after="200"/>
      </w:pPr>
      <w:r>
        <w:t xml:space="preserve">8. STUDY SCHEDULE</w:t>
      </w:r>
    </w:p>
    <w:p>
      <w:pPr>
        <w:spacing w:after="50"/>
      </w:pPr>
      <w:r>
        <w:rPr>
          <w:b/>
          <w:bCs/>
        </w:rPr>
        <w:t xml:space="preserve">Screening: </w:t>
      </w:r>
      <w:r>
        <w:t xml:space="preserve">Day -28 to Day -1</w:t>
      </w:r>
    </w:p>
    <w:p>
      <w:pPr>
        <w:spacing w:after="50"/>
      </w:pPr>
      <w:r>
        <w:rPr>
          <w:b/>
          <w:bCs/>
        </w:rPr>
        <w:t xml:space="preserve">Check-in: </w:t>
      </w:r>
      <w:r>
        <w:t xml:space="preserve">Day -1 (evening)</w:t>
      </w:r>
    </w:p>
    <w:p>
      <w:pPr>
        <w:spacing w:after="50"/>
      </w:pPr>
      <w:r>
        <w:rPr>
          <w:b/>
          <w:bCs/>
        </w:rPr>
        <w:t xml:space="preserve">Dosing: </w:t>
      </w:r>
      <w:r>
        <w:t xml:space="preserve">Day 1 (morning, after overnight fast)</w:t>
      </w:r>
    </w:p>
    <w:p>
      <w:pPr>
        <w:spacing w:after="50"/>
      </w:pPr>
      <w:r>
        <w:rPr>
          <w:b/>
          <w:bCs/>
        </w:rPr>
        <w:t xml:space="preserve">Discharge: </w:t>
      </w:r>
      <w:r>
        <w:t xml:space="preserve">Day 2 (after 24-hour sample collection)</w:t>
      </w:r>
    </w:p>
    <w:p>
      <w:pPr>
        <w:spacing w:after="400"/>
      </w:pPr>
      <w:r>
        <w:rPr>
          <w:b/>
          <w:bCs/>
        </w:rPr>
        <w:t xml:space="preserve">Follow-up: </w:t>
      </w:r>
      <w:r>
        <w:t xml:space="preserve">Day 7 ± 2 days (safety follow-up)</w:t>
      </w:r>
    </w:p>
    <w:p>
      <w:pPr>
        <w:pStyle w:val="Heading1"/>
        <w:spacing w:before="400" w:after="200"/>
      </w:pPr>
      <w:r>
        <w:t xml:space="preserve">SIGNATURES</w:t>
      </w:r>
    </w:p>
    <w:p>
      <w:pPr>
        <w:spacing w:after="100"/>
      </w:pPr>
      <w:r>
        <w:rPr>
          <w:b/>
          <w:bCs/>
        </w:rPr>
        <w:t xml:space="preserve">Study Director: </w:t>
      </w:r>
      <w:r>
        <w:t xml:space="preserve">Jane Smith, PhD</w:t>
      </w:r>
    </w:p>
    <w:p>
      <w:pPr>
        <w:spacing w:after="100"/>
      </w:pPr>
      <w:r>
        <w:rPr>
          <w:b/>
          <w:bCs/>
        </w:rPr>
        <w:t xml:space="preserve">Principal Investigator: </w:t>
      </w:r>
      <w:r>
        <w:t xml:space="preserve">John Doe, MD</w:t>
      </w:r>
    </w:p>
    <w:p>
      <w:pPr>
        <w:spacing w:after="100"/>
      </w:pPr>
      <w:r>
        <w:rPr>
          <w:b/>
          <w:bCs/>
        </w:rPr>
        <w:t xml:space="preserve">Sponsor Representative: </w:t>
      </w:r>
      <w:r>
        <w:t xml:space="preserve">Sarah Johnson, PharmD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2026-01-06T19:13:22.929Z</dcterms:created>
  <dcterms:modified xsi:type="dcterms:W3CDTF">2026-01-06T19:13:22.929Z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