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upplementary-materials"/>
    <w:p>
      <w:pPr>
        <w:pStyle w:val="Heading1"/>
      </w:pPr>
      <w:r>
        <w:t xml:space="preserve">Supplementary Materials</w:t>
      </w:r>
    </w:p>
    <w:bookmarkStart w:id="20" w:name="Xe9d3a35cbc11bc38fbe53e6ae316db24d6fab49"/>
    <w:p>
      <w:pPr>
        <w:pStyle w:val="Heading2"/>
      </w:pPr>
      <w:r>
        <w:t xml:space="preserve">Table S11. Leave-one-cluster-out validation and descriptor-space audit of the selective acquisition policy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Held-out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ΔPR-AUC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ΔPR-AUC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vs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Out-of-range 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Nearest-cluster 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A→B /</w:t>
            </w:r>
            <w:r>
              <w:t xml:space="preserve"> </w:t>
            </w:r>
            <w:r>
              <w:rPr>
                <w:iCs/>
                <w:i/>
              </w:rPr>
              <w:t xml:space="preserve">Escherichia coli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Escherichia coli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Klebsiella pneumoniae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Proteus mirabilis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Staphylococcus aureus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B→C /</w:t>
            </w:r>
            <w:r>
              <w:t xml:space="preserve"> </w:t>
            </w:r>
            <w:r>
              <w:rPr>
                <w:iCs/>
                <w:i/>
              </w:rPr>
              <w:t xml:space="preserve">Staphylococcus aureus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A→B /</w:t>
            </w:r>
            <w:r>
              <w:t xml:space="preserve"> </w:t>
            </w:r>
            <w:r>
              <w:rPr>
                <w:iCs/>
                <w:i/>
              </w:rPr>
              <w:t xml:space="preserve">Staphylococcus epidermidis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A→B /</w:t>
            </w:r>
            <w:r>
              <w:t xml:space="preserve"> </w:t>
            </w:r>
            <w:r>
              <w:rPr>
                <w:iCs/>
                <w:i/>
              </w:rPr>
              <w:t xml:space="preserve">Escherichia coli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Escherichia coli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Klebsiella pneumoniae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Proteus mirabilis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Staphylococcus aureus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B→C /</w:t>
            </w:r>
            <w:r>
              <w:t xml:space="preserve"> </w:t>
            </w:r>
            <w:r>
              <w:rPr>
                <w:iCs/>
                <w:i/>
              </w:rPr>
              <w:t xml:space="preserve">Staphylococcus aureus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A→B /</w:t>
            </w:r>
            <w:r>
              <w:t xml:space="preserve"> </w:t>
            </w:r>
            <w:r>
              <w:rPr>
                <w:iCs/>
                <w:i/>
              </w:rPr>
              <w:t xml:space="preserve">Staphylococcus epidermidis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A→B /</w:t>
            </w:r>
            <w:r>
              <w:t xml:space="preserve"> </w:t>
            </w:r>
            <w:r>
              <w:rPr>
                <w:iCs/>
                <w:i/>
              </w:rPr>
              <w:t xml:space="preserve">Escherichia coli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Escherichia coli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Klebsiella pneumoniae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Proteus mirabilis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 /</w:t>
            </w:r>
            <w:r>
              <w:t xml:space="preserve"> </w:t>
            </w:r>
            <w:r>
              <w:rPr>
                <w:iCs/>
                <w:i/>
              </w:rPr>
              <w:t xml:space="preserve">Staphylococcus aureus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B→C /</w:t>
            </w:r>
            <w:r>
              <w:t xml:space="preserve"> </w:t>
            </w:r>
            <w:r>
              <w:rPr>
                <w:iCs/>
                <w:i/>
              </w:rPr>
              <w:t xml:space="preserve">Staphylococcus aureus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A→B /</w:t>
            </w:r>
            <w:r>
              <w:t xml:space="preserve"> </w:t>
            </w:r>
            <w:r>
              <w:rPr>
                <w:iCs/>
                <w:i/>
              </w:rPr>
              <w:t xml:space="preserve">Staphylococcus epidermidis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</w:t>
            </w:r>
          </w:p>
        </w:tc>
      </w:tr>
    </w:tbl>
    <w:p>
      <w:pPr>
        <w:pStyle w:val="BodyText"/>
      </w:pPr>
      <w:r>
        <w:t xml:space="preserve">Clusters were defined by source-to-target site pair and bacterial species. Observed ΔPR-AUC denotes the difference between Hybrid and Random acquisition within the held-out cluster; predicted ΔPR-AUC is the value returned by the policy fitted on the remaining six clusters. Policy gain denotes the PR-AUC difference between the strategy selected by the leave-one-cluster-out policy and Always-Random acquisition. Regret is the difference relative to the oracle strategy. Descriptor extrapolation was quantified in two ways: the number of the five unlabeled shift descriptors whose values fell outside the range spanned by the six training clusters, and the standardised Euclidean distance from the held-out cluster to its nearest training cluster in descriptor space.</w:t>
      </w:r>
    </w:p>
    <w:p>
      <w:pPr>
        <w:pStyle w:val="BodyText"/>
      </w:pPr>
      <w:r>
        <w:t xml:space="preserve">Across the 21 cluster-by-budget combinations the policy’s directional accuracy varied widely, and the A→B</w:t>
      </w:r>
      <w:r>
        <w:t xml:space="preserve"> </w:t>
      </w:r>
      <w:r>
        <w:rPr>
          <w:iCs/>
          <w:i/>
        </w:rPr>
        <w:t xml:space="preserve">Staphylococcus epidermidis</w:t>
      </w:r>
      <w:r>
        <w:t xml:space="preserve"> </w:t>
      </w:r>
      <w:r>
        <w:t xml:space="preserve">cluster — the only cluster lying outside the training range on all five descriptors, with a standardised nearest-cluster distance of 2.76 — accounted for the largest regret at the 30- and 50-label budgets. All 21 combinations are listed so that the aggregate figures reported in the main text can be traced to their components.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2026-08-20T19:39:33Z</dcterms:created>
  <dcterms:modified xsi:type="dcterms:W3CDTF">2026-08-20T19:39:33Z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