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b/>
          <w:bCs/>
          <w:color w:val="1F2A63"/>
          <w:sz w:val="32"/>
          <w:szCs w:val="32"/>
        </w:rPr>
        <w:t xml:space="preserve">Bütünleme Projesi: Kısa Rapor</w:t>
      </w:r>
    </w:p>
    <w:p>
      <w:pPr>
        <w:spacing w:after="200"/>
      </w:pPr>
      <w:r>
        <w:rPr>
          <w:i/>
          <w:iCs/>
          <w:color w:val="C2611A"/>
          <w:sz w:val="24"/>
          <w:szCs w:val="24"/>
        </w:rPr>
        <w:t xml:space="preserve">Tam Öğrenme Modeli ile Yapay Zekâ Destekli Algoritma Öğretimi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3D0EA" w:sz="1"/>
              <w:left w:val="single" w:color="C3D0EA" w:sz="1"/>
              <w:bottom w:val="single" w:color="C3D0EA" w:sz="1"/>
              <w:right w:val="single" w:color="C3D0EA" w:sz="1"/>
            </w:tcBorders>
            <w:shd w:fill="EAF0FA" w:val="clear"/>
            <w:tcMar>
              <w:top w:type="dxa" w:w="60"/>
              <w:left w:type="dxa" w:w="120"/>
              <w:bottom w:type="dxa" w:w="60"/>
              <w:right w:type="dxa" w:w="120"/>
            </w:tcMar>
          </w:tcPr>
          <w:p>
            <w:r>
              <w:rPr>
                <w:b/>
                <w:bCs/>
              </w:rPr>
              <w:t xml:space="preserve">Öğrenci</w:t>
            </w:r>
          </w:p>
        </w:tc>
        <w:tc>
          <w:tcPr>
            <w:tcW w:type="dxa" w:w="6260"/>
            <w:tcBorders>
              <w:top w:val="single" w:color="C3D0EA" w:sz="1"/>
              <w:left w:val="single" w:color="C3D0EA" w:sz="1"/>
              <w:bottom w:val="single" w:color="C3D0EA" w:sz="1"/>
              <w:right w:val="single" w:color="C3D0EA" w:sz="1"/>
            </w:tcBorders>
            <w:shd w:fill="FFFFFF" w:val="clear"/>
            <w:tcMar>
              <w:top w:type="dxa" w:w="60"/>
              <w:left w:type="dxa" w:w="120"/>
              <w:bottom w:type="dxa" w:w="60"/>
              <w:right w:type="dxa" w:w="120"/>
            </w:tcMar>
          </w:tcPr>
          <w:p>
            <w:r>
              <w:t xml:space="preserve">Hüseyin Aracı — 100222509</w:t>
            </w:r>
          </w:p>
        </w:tc>
      </w:tr>
      <w:tr>
        <w:tc>
          <w:tcPr>
            <w:tcW w:type="dxa" w:w="3100"/>
            <w:tcBorders>
              <w:top w:val="single" w:color="C3D0EA" w:sz="1"/>
              <w:left w:val="single" w:color="C3D0EA" w:sz="1"/>
              <w:bottom w:val="single" w:color="C3D0EA" w:sz="1"/>
              <w:right w:val="single" w:color="C3D0EA" w:sz="1"/>
            </w:tcBorders>
            <w:shd w:fill="EAF0FA" w:val="clear"/>
            <w:tcMar>
              <w:top w:type="dxa" w:w="60"/>
              <w:left w:type="dxa" w:w="120"/>
              <w:bottom w:type="dxa" w:w="60"/>
              <w:right w:type="dxa" w:w="120"/>
            </w:tcMar>
          </w:tcPr>
          <w:p>
            <w:r>
              <w:rPr>
                <w:b/>
                <w:bCs/>
              </w:rPr>
              <w:t xml:space="preserve">Seçilen Öğretim Yaklaşımı</w:t>
            </w:r>
          </w:p>
        </w:tc>
        <w:tc>
          <w:tcPr>
            <w:tcW w:type="dxa" w:w="6260"/>
            <w:tcBorders>
              <w:top w:val="single" w:color="C3D0EA" w:sz="1"/>
              <w:left w:val="single" w:color="C3D0EA" w:sz="1"/>
              <w:bottom w:val="single" w:color="C3D0EA" w:sz="1"/>
              <w:right w:val="single" w:color="C3D0EA" w:sz="1"/>
            </w:tcBorders>
            <w:shd w:fill="FFFFFF" w:val="clear"/>
            <w:tcMar>
              <w:top w:type="dxa" w:w="60"/>
              <w:left w:type="dxa" w:w="120"/>
              <w:bottom w:type="dxa" w:w="60"/>
              <w:right w:type="dxa" w:w="120"/>
            </w:tcMar>
          </w:tcPr>
          <w:p>
            <w:r>
              <w:t xml:space="preserve">Tam Öğrenme Modeli (B. S. Bloom)</w:t>
            </w:r>
          </w:p>
        </w:tc>
      </w:tr>
      <w:tr>
        <w:tc>
          <w:tcPr>
            <w:tcW w:type="dxa" w:w="3100"/>
            <w:tcBorders>
              <w:top w:val="single" w:color="C3D0EA" w:sz="1"/>
              <w:left w:val="single" w:color="C3D0EA" w:sz="1"/>
              <w:bottom w:val="single" w:color="C3D0EA" w:sz="1"/>
              <w:right w:val="single" w:color="C3D0EA" w:sz="1"/>
            </w:tcBorders>
            <w:shd w:fill="EAF0FA" w:val="clear"/>
            <w:tcMar>
              <w:top w:type="dxa" w:w="60"/>
              <w:left w:type="dxa" w:w="120"/>
              <w:bottom w:type="dxa" w:w="60"/>
              <w:right w:type="dxa" w:w="120"/>
            </w:tcMar>
          </w:tcPr>
          <w:p>
            <w:r>
              <w:rPr>
                <w:b/>
                <w:bCs/>
              </w:rPr>
              <w:t xml:space="preserve">Ders Konusu</w:t>
            </w:r>
          </w:p>
        </w:tc>
        <w:tc>
          <w:tcPr>
            <w:tcW w:type="dxa" w:w="6260"/>
            <w:tcBorders>
              <w:top w:val="single" w:color="C3D0EA" w:sz="1"/>
              <w:left w:val="single" w:color="C3D0EA" w:sz="1"/>
              <w:bottom w:val="single" w:color="C3D0EA" w:sz="1"/>
              <w:right w:val="single" w:color="C3D0EA" w:sz="1"/>
            </w:tcBorders>
            <w:shd w:fill="FFFFFF" w:val="clear"/>
            <w:tcMar>
              <w:top w:type="dxa" w:w="60"/>
              <w:left w:type="dxa" w:w="120"/>
              <w:bottom w:type="dxa" w:w="60"/>
              <w:right w:type="dxa" w:w="120"/>
            </w:tcMar>
          </w:tcPr>
          <w:p>
            <w:r>
              <w:t xml:space="preserve">Algoritma Temelleri: Sıralama, Döngü ve Koşul</w:t>
            </w:r>
          </w:p>
        </w:tc>
      </w:tr>
      <w:tr>
        <w:tc>
          <w:tcPr>
            <w:tcW w:type="dxa" w:w="3100"/>
            <w:tcBorders>
              <w:top w:val="single" w:color="C3D0EA" w:sz="1"/>
              <w:left w:val="single" w:color="C3D0EA" w:sz="1"/>
              <w:bottom w:val="single" w:color="C3D0EA" w:sz="1"/>
              <w:right w:val="single" w:color="C3D0EA" w:sz="1"/>
            </w:tcBorders>
            <w:shd w:fill="EAF0FA" w:val="clear"/>
            <w:tcMar>
              <w:top w:type="dxa" w:w="60"/>
              <w:left w:type="dxa" w:w="120"/>
              <w:bottom w:type="dxa" w:w="60"/>
              <w:right w:type="dxa" w:w="120"/>
            </w:tcMar>
          </w:tcPr>
          <w:p>
            <w:r>
              <w:rPr>
                <w:b/>
                <w:bCs/>
              </w:rPr>
              <w:t xml:space="preserve">Hedef Kitle</w:t>
            </w:r>
          </w:p>
        </w:tc>
        <w:tc>
          <w:tcPr>
            <w:tcW w:type="dxa" w:w="6260"/>
            <w:tcBorders>
              <w:top w:val="single" w:color="C3D0EA" w:sz="1"/>
              <w:left w:val="single" w:color="C3D0EA" w:sz="1"/>
              <w:bottom w:val="single" w:color="C3D0EA" w:sz="1"/>
              <w:right w:val="single" w:color="C3D0EA" w:sz="1"/>
            </w:tcBorders>
            <w:shd w:fill="FFFFFF" w:val="clear"/>
            <w:tcMar>
              <w:top w:type="dxa" w:w="60"/>
              <w:left w:type="dxa" w:w="120"/>
              <w:bottom w:type="dxa" w:w="60"/>
              <w:right w:type="dxa" w:w="120"/>
            </w:tcMar>
          </w:tcPr>
          <w:p>
            <w:r>
              <w:t xml:space="preserve">Ortaokul 5–6. Sınıf Öğrencileri (10–12 Yaş)</w:t>
            </w:r>
          </w:p>
        </w:tc>
      </w:tr>
      <w:tr>
        <w:tc>
          <w:tcPr>
            <w:tcW w:type="dxa" w:w="3100"/>
            <w:tcBorders>
              <w:top w:val="single" w:color="C3D0EA" w:sz="1"/>
              <w:left w:val="single" w:color="C3D0EA" w:sz="1"/>
              <w:bottom w:val="single" w:color="C3D0EA" w:sz="1"/>
              <w:right w:val="single" w:color="C3D0EA" w:sz="1"/>
            </w:tcBorders>
            <w:shd w:fill="EAF0FA" w:val="clear"/>
            <w:tcMar>
              <w:top w:type="dxa" w:w="60"/>
              <w:left w:type="dxa" w:w="120"/>
              <w:bottom w:type="dxa" w:w="60"/>
              <w:right w:type="dxa" w:w="120"/>
            </w:tcMar>
          </w:tcPr>
          <w:p>
            <w:r>
              <w:rPr>
                <w:b/>
                <w:bCs/>
              </w:rPr>
              <w:t xml:space="preserve">Geliştirilen Araç Türü</w:t>
            </w:r>
          </w:p>
        </w:tc>
        <w:tc>
          <w:tcPr>
            <w:tcW w:type="dxa" w:w="6260"/>
            <w:tcBorders>
              <w:top w:val="single" w:color="C3D0EA" w:sz="1"/>
              <w:left w:val="single" w:color="C3D0EA" w:sz="1"/>
              <w:bottom w:val="single" w:color="C3D0EA" w:sz="1"/>
              <w:right w:val="single" w:color="C3D0EA" w:sz="1"/>
            </w:tcBorders>
            <w:shd w:fill="FFFFFF" w:val="clear"/>
            <w:tcMar>
              <w:top w:type="dxa" w:w="60"/>
              <w:left w:type="dxa" w:w="120"/>
              <w:bottom w:type="dxa" w:w="60"/>
              <w:right w:type="dxa" w:w="120"/>
            </w:tcMar>
          </w:tcPr>
          <w:p>
            <w:r>
              <w:t xml:space="preserve">Web Uygulaması — “Algoritma Ustalık Yolu”</w:t>
            </w:r>
          </w:p>
        </w:tc>
      </w:tr>
      <w:tr>
        <w:tc>
          <w:tcPr>
            <w:tcW w:type="dxa" w:w="3100"/>
            <w:tcBorders>
              <w:top w:val="single" w:color="C3D0EA" w:sz="1"/>
              <w:left w:val="single" w:color="C3D0EA" w:sz="1"/>
              <w:bottom w:val="single" w:color="C3D0EA" w:sz="1"/>
              <w:right w:val="single" w:color="C3D0EA" w:sz="1"/>
            </w:tcBorders>
            <w:shd w:fill="EAF0FA" w:val="clear"/>
            <w:tcMar>
              <w:top w:type="dxa" w:w="60"/>
              <w:left w:type="dxa" w:w="120"/>
              <w:bottom w:type="dxa" w:w="60"/>
              <w:right w:type="dxa" w:w="120"/>
            </w:tcMar>
          </w:tcPr>
          <w:p>
            <w:r>
              <w:rPr>
                <w:b/>
                <w:bCs/>
              </w:rPr>
              <w:t xml:space="preserve">Geliştirme Ortamı</w:t>
            </w:r>
          </w:p>
        </w:tc>
        <w:tc>
          <w:tcPr>
            <w:tcW w:type="dxa" w:w="6260"/>
            <w:tcBorders>
              <w:top w:val="single" w:color="C3D0EA" w:sz="1"/>
              <w:left w:val="single" w:color="C3D0EA" w:sz="1"/>
              <w:bottom w:val="single" w:color="C3D0EA" w:sz="1"/>
              <w:right w:val="single" w:color="C3D0EA" w:sz="1"/>
            </w:tcBorders>
            <w:shd w:fill="FFFFFF" w:val="clear"/>
            <w:tcMar>
              <w:top w:type="dxa" w:w="60"/>
              <w:left w:type="dxa" w:w="120"/>
              <w:bottom w:type="dxa" w:w="60"/>
              <w:right w:type="dxa" w:w="120"/>
            </w:tcMar>
          </w:tcPr>
          <w:p>
            <w:r>
              <w:t xml:space="preserve">Claude Code (yapay zekâ destekli kod geliştirme aracı)</w:t>
            </w:r>
          </w:p>
        </w:tc>
      </w:tr>
    </w:tbl>
    <w:p>
      <w:pPr>
        <w:spacing w:after="60"/>
      </w:pPr>
    </w:p>
    <w:p>
      <w:pPr>
        <w:pStyle w:val="Heading1"/>
      </w:pPr>
      <w:r>
        <w:t xml:space="preserve">1. Proje Özeti</w:t>
      </w:r>
    </w:p>
    <w:p>
      <w:pPr>
        <w:spacing w:after="120" w:before="0" w:line="268"/>
      </w:pPr>
      <w:r>
        <w:t xml:space="preserve">Bu proje kapsamında, Tam Öğrenme Modeli yaklaşımı esas alınarak 5–6. sınıf öğrencilerine yönelik “Algoritma Temelleri: Sıralama, Döngü ve Koşul” başlıklı 40 dakikalık bir ders tasarlanmıştır. Dersi desteklemek amacıyla, öğrencilerin sevimli bir robotu (Robi) komutlarla yönlendirerek temel programlama kavramlarını kademeli olarak ve ustalaşarak öğrendiği “Algoritma Ustalık Yolu” adlı bir web uygulaması geliştirilmiştir. Aracın ayırt edici yanı, Tam Öğrenme Modeli’nin kalbi olan “geri bildirim-düzeltme” döngüsünü, Google Gemini API aracılığıyla her öğrenciye özel, canlı düzeltici geri bildirim olarak otomatik hâle getirmesidir. Araç, Claude Code adlı yapay zekâ destekli geliştirme ortamı kullanılarak kodlanmıştır.</w:t>
      </w:r>
    </w:p>
    <w:p>
      <w:pPr>
        <w:pStyle w:val="Heading1"/>
      </w:pPr>
      <w:r>
        <w:t xml:space="preserve">2. Ders Tasarımı ve Tam Öğrenme Yaklaşımı</w:t>
      </w:r>
    </w:p>
    <w:p>
      <w:pPr>
        <w:spacing w:after="120" w:before="0" w:line="268"/>
      </w:pPr>
      <w:r>
        <w:t xml:space="preserve">Ders, Tam Öğrenme Modeli’nin temel evrelerine uygun olarak üç aşamada kurgulanmıştır:</w:t>
      </w:r>
    </w:p>
    <w:p>
      <w:pPr>
        <w:pStyle w:val="ListParagraph"/>
        <w:numPr>
          <w:ilvl w:val="0"/>
          <w:numId w:val="2"/>
        </w:numPr>
        <w:spacing w:after="80" w:line="268"/>
      </w:pPr>
      <w:r>
        <w:rPr>
          <w:b/>
          <w:bCs/>
        </w:rPr>
        <w:t xml:space="preserve">Hazırbulunuşluk ve Giriş (7 Dk): </w:t>
      </w:r>
      <w:r>
        <w:t xml:space="preserve">Günlük yaşamdan örneklerle (sabah rutini, yemek tarifi) “algoritma = adım adım, sıralı yönerge” fikri sezdirilir; ön bilgi yoklanır ve ustalık ölçütü (her basamakta %80) öğrencilerle baştan paylaşılır.</w:t>
      </w:r>
    </w:p>
    <w:p>
      <w:pPr>
        <w:pStyle w:val="ListParagraph"/>
        <w:numPr>
          <w:ilvl w:val="0"/>
          <w:numId w:val="2"/>
        </w:numPr>
        <w:spacing w:after="80" w:line="268"/>
      </w:pPr>
      <w:r>
        <w:rPr>
          <w:b/>
          <w:bCs/>
        </w:rPr>
        <w:t xml:space="preserve">Ünitelere Dayalı Öğretim, İzleme ve Düzeltme (25 Dk): </w:t>
      </w:r>
      <w:r>
        <w:t xml:space="preserve">Konu üç öğrenme ünitesine bölünür (Sıralama → Döngü → Koşul). Her ünite ÖĞREN → UYGULA → İZLEME TESTİ → DÜŞÜN &amp; PAYLAŞ döngüsüyle işler. Bir ünitede %80 ustalığa ulaşılmadan sonraki ünite açılmaz; eksiği olan öğrenciye uygulama, yapay zekâ destekli bireysel düzeltici geri bildirim verir ve öğrenci tekrar dener.</w:t>
      </w:r>
    </w:p>
    <w:p>
      <w:pPr>
        <w:pStyle w:val="ListParagraph"/>
        <w:numPr>
          <w:ilvl w:val="0"/>
          <w:numId w:val="2"/>
        </w:numPr>
        <w:spacing w:after="80" w:line="268"/>
      </w:pPr>
      <w:r>
        <w:rPr>
          <w:b/>
          <w:bCs/>
        </w:rPr>
        <w:t xml:space="preserve">Ustalık, Zenginleştirme ve Kapanış (8 Dk): </w:t>
      </w:r>
      <w:r>
        <w:t xml:space="preserve">Üç üniteyi de geçen öğrencilere yapay zekânın ürettiği kişiye özel bir “Usta Görevi” sunulur; böylece erken bitirenler beklemez. Çıkış bileti modülüyle her öğrencinin ustalık durumu öğretmene dijital olarak teslim edilir.</w:t>
      </w:r>
    </w:p>
    <w:p>
      <w:pPr>
        <w:spacing w:after="120" w:before="0" w:line="268"/>
      </w:pPr>
      <w:r>
        <w:t xml:space="preserve">Kazanımlar; bir problemi doğru sırayla çözme (sıralama), tekrar eden adımları döngüyle ifade etme, duruma bağlı kararları koşulla kurma, hatalı bir algoritmayı geri bildirimle düzeltme (hata ayıklama) ve her kavramı ustalık düzeyinde öğrendiğini izleme testleriyle gösterme becerilerini kapsar. Ölçme ve değerlendirme, araç içine gömülü 5 soruluk izleme testleri ve her öğrencinin ünite bazında ustalık yüzdesini anlık gösteren “Öğretmen Görünümü” paneli ile öğretmenin elle puanlamasına gerek kalmadan yürütülür.</w:t>
      </w:r>
    </w:p>
    <w:p>
      <w:pPr>
        <w:pStyle w:val="Heading1"/>
      </w:pPr>
      <w:r>
        <w:t xml:space="preserve">3. Geliştirilen Dijital Eğitim Aracı</w:t>
      </w:r>
    </w:p>
    <w:p>
      <w:pPr>
        <w:spacing w:after="120" w:before="0" w:line="268"/>
      </w:pPr>
      <w:r>
        <w:t xml:space="preserve">Geliştirilen araç tek dosyalık bir web uygulamasıdır ve ders planının 2. Aşaması içinde tamamlayıcı değil, merkezi bir bileşen olarak kullanılır:</w:t>
      </w:r>
    </w:p>
    <w:p>
      <w:pPr>
        <w:pStyle w:val="ListParagraph"/>
        <w:numPr>
          <w:ilvl w:val="0"/>
          <w:numId w:val="2"/>
        </w:numPr>
        <w:spacing w:after="80" w:line="268"/>
      </w:pPr>
      <w:r>
        <w:rPr>
          <w:b/>
          <w:bCs/>
        </w:rPr>
        <w:t xml:space="preserve">Ünite 1 – Sıralama: </w:t>
      </w:r>
      <w:r>
        <w:t xml:space="preserve">Öğrenci, robotu İleri/Sağa Dön/Sola Dön komutlarını doğru sırayla dizerek bataryaya ulaştırır; sıranın önemini deneyimler.</w:t>
      </w:r>
    </w:p>
    <w:p>
      <w:pPr>
        <w:pStyle w:val="ListParagraph"/>
        <w:numPr>
          <w:ilvl w:val="0"/>
          <w:numId w:val="2"/>
        </w:numPr>
        <w:spacing w:after="80" w:line="268"/>
      </w:pPr>
      <w:r>
        <w:rPr>
          <w:b/>
          <w:bCs/>
        </w:rPr>
        <w:t xml:space="preserve">Ünite 2 – Döngü: </w:t>
      </w:r>
      <w:r>
        <w:t xml:space="preserve">Uzun bir koridorda tek tek komut yazmak yerine “Tekrar n kez { … }” döngüsü kurarak az komutla çok iş yapmayı keşfeder.</w:t>
      </w:r>
    </w:p>
    <w:p>
      <w:pPr>
        <w:pStyle w:val="ListParagraph"/>
        <w:numPr>
          <w:ilvl w:val="0"/>
          <w:numId w:val="2"/>
        </w:numPr>
        <w:spacing w:after="80" w:line="268"/>
      </w:pPr>
      <w:r>
        <w:rPr>
          <w:b/>
          <w:bCs/>
        </w:rPr>
        <w:t xml:space="preserve">Ünite 3 – Koşul: </w:t>
      </w:r>
      <w:r>
        <w:t xml:space="preserve">“Eğer önünde engel varsa … değilse …” kuralını kurar; robot, köşenin yerini önceden bilmeden her adımda kararı kendisi verir.</w:t>
      </w:r>
    </w:p>
    <w:p>
      <w:pPr>
        <w:pStyle w:val="ListParagraph"/>
        <w:numPr>
          <w:ilvl w:val="0"/>
          <w:numId w:val="2"/>
        </w:numPr>
        <w:spacing w:after="80" w:line="268"/>
      </w:pPr>
      <w:r>
        <w:rPr>
          <w:b/>
          <w:bCs/>
        </w:rPr>
        <w:t xml:space="preserve">Ustalık Kilidi ve Değerlendirme: </w:t>
      </w:r>
      <w:r>
        <w:t xml:space="preserve">Her ünitede %80 izleme testi ve görev tamamlama olmadan sonraki ünite kilitlidir. Araç ayrıca Öğretmen Görünümü, çıkış bileti (.txt indir / kopyala) ve yapay zekâ üretimi zenginleştirme görevi içerir.</w:t>
      </w:r>
    </w:p>
    <w:p>
      <w:pPr>
        <w:spacing w:after="120" w:before="0" w:line="268"/>
      </w:pPr>
      <w:r>
        <w:t xml:space="preserve">Aracın temel yeniliği, yapay zekânın dersi süsleyen bir ek değil, öğretim sürecinin merkezinde yer almasıdır: öğrenci bir görevde takıldığında, izleme testinden %80’in altında kaldığında veya bir yansıtma sorusu yanıtladığında, </w:t>
      </w:r>
      <w:r>
        <w:rPr>
          <w:b/>
          <w:bCs/>
        </w:rPr>
        <w:t xml:space="preserve">hatasının türüne göre Google Gemini modeli gerçek zamanlı, yaşına uygun ve doğrudan cevabı söylemeyen kişisel bir düzeltici geri bildirim üretir</w:t>
      </w:r>
      <w:r>
        <w:t xml:space="preserve">. Böylece Tam Öğrenmenin en zor parçası olan bireyselleştirilmiş düzeltme, sınıftaki her öğrenci için ölçeklenebilir hâle gelir. Önemli bir tasarım kararı olarak araç, API anahtarı olmadan da tüm robot görevleri, testler ve ustalık kilidiyle sorunsuz çalışır; anahtar yalnızca yapay zekânın kişisel geri bildirim katmanını açar.</w:t>
      </w:r>
    </w:p>
    <w:p>
      <w:pPr>
        <w:pStyle w:val="Heading1"/>
      </w:pPr>
      <w:r>
        <w:t xml:space="preserve">4. Kullanılan Yapay Zekâ Araçları</w:t>
      </w:r>
    </w:p>
    <w:p>
      <w:pPr>
        <w:pStyle w:val="ListParagraph"/>
        <w:numPr>
          <w:ilvl w:val="0"/>
          <w:numId w:val="2"/>
        </w:numPr>
        <w:spacing w:after="80" w:line="268"/>
      </w:pPr>
      <w:r>
        <w:rPr>
          <w:b/>
          <w:bCs/>
        </w:rPr>
        <w:t xml:space="preserve">Claude Code: </w:t>
      </w:r>
      <w:r>
        <w:t xml:space="preserve">Web uygulamasının (HTML/CSS/JavaScript) tasarlanması ve tek dosya olarak kodlanması bu yapay zekâ destekli geliştirme ortamıyla gerçekleştirilmiştir.</w:t>
      </w:r>
    </w:p>
    <w:p>
      <w:pPr>
        <w:pStyle w:val="ListParagraph"/>
        <w:numPr>
          <w:ilvl w:val="0"/>
          <w:numId w:val="2"/>
        </w:numPr>
        <w:spacing w:after="80" w:line="268"/>
      </w:pPr>
      <w:r>
        <w:rPr>
          <w:b/>
          <w:bCs/>
        </w:rPr>
        <w:t xml:space="preserve">Google Gemini API: </w:t>
      </w:r>
      <w:r>
        <w:t xml:space="preserve">Uygulamanın çalışma zamanında, öğrencinin yaptığı hataya veya yazdığı yansıtmaya göre canlı, kişiye özel düzeltici geri bildirim ile öğrenciye özel zenginleştirme görevini üreten gerçek yapay zekâ modelidir. Bu, dersteki “geri bildirim-düzeltme” döngüsünün otomatik motorudur.</w:t>
      </w:r>
    </w:p>
    <w:p>
      <w:pPr>
        <w:pStyle w:val="Heading1"/>
      </w:pPr>
      <w:r>
        <w:t xml:space="preserve">5. Teslim Edilenler ve Bağlantılar</w:t>
      </w:r>
    </w:p>
    <w:p>
      <w:pPr>
        <w:spacing w:after="120" w:before="0" w:line="268"/>
      </w:pPr>
      <w:r>
        <w:rPr>
          <w:b/>
          <w:bCs/>
        </w:rPr>
        <w:t xml:space="preserve">Uygulama Bağlantısı (canlı uygulama): </w:t>
      </w:r>
      <w:hyperlink w:history="1" r:id="rId7sotkssesw6_5q_jojoli">
        <w:r>
          <w:rPr>
            <w:color w:val="1155CC"/>
            <w:u w:val="single"/>
          </w:rPr>
          <w:t xml:space="preserve">https://huseyinaraci42-hub.github.io/Algoritma-Ustalik-Yolu/</w:t>
        </w:r>
      </w:hyperlink>
    </w:p>
    <w:p>
      <w:pPr>
        <w:spacing w:after="120" w:before="0" w:line="268"/>
      </w:pPr>
      <w:r>
        <w:rPr>
          <w:b/>
          <w:bCs/>
        </w:rPr>
        <w:t xml:space="preserve">Kaynak Kodu (GitHub deposu): </w:t>
      </w:r>
      <w:hyperlink w:history="1" r:id="rIdf6a28pbuehottz-pt75b2">
        <w:r>
          <w:rPr>
            <w:color w:val="1155CC"/>
            <w:u w:val="single"/>
          </w:rPr>
          <w:t xml:space="preserve">https://github.com/huseyinaraci42-hub/Algoritma-Ustalik-Yolu</w:t>
        </w:r>
      </w:hyperlink>
    </w:p>
    <w:p>
      <w:pPr>
        <w:pStyle w:val="ListParagraph"/>
        <w:numPr>
          <w:ilvl w:val="0"/>
          <w:numId w:val="2"/>
        </w:numPr>
        <w:spacing w:after="80" w:line="268"/>
      </w:pPr>
      <w:r>
        <w:t xml:space="preserve">40 dakikalık ayrıntılı ders planı (Word belgesi)</w:t>
      </w:r>
    </w:p>
    <w:p>
      <w:pPr>
        <w:pStyle w:val="ListParagraph"/>
        <w:numPr>
          <w:ilvl w:val="0"/>
          <w:numId w:val="2"/>
        </w:numPr>
        <w:spacing w:after="80" w:line="268"/>
      </w:pPr>
      <w:r>
        <w:t xml:space="preserve">Çalışan dijital eğitim aracı: “Algoritma Ustalık Yolu” (tek dosyalık web uygulaması, HTML/CSS/JS kaynak kodu)</w:t>
      </w:r>
    </w:p>
    <w:p>
      <w:pPr>
        <w:pStyle w:val="ListParagraph"/>
        <w:numPr>
          <w:ilvl w:val="0"/>
          <w:numId w:val="2"/>
        </w:numPr>
        <w:spacing w:after="80" w:line="268"/>
      </w:pPr>
      <w:r>
        <w:t xml:space="preserve">3–5 dakikalık tanıtım videosu</w:t>
      </w:r>
    </w:p>
    <w:p>
      <w:pPr>
        <w:pStyle w:val="ListParagraph"/>
        <w:numPr>
          <w:ilvl w:val="0"/>
          <w:numId w:val="2"/>
        </w:numPr>
        <w:spacing w:after="80" w:line="268"/>
      </w:pPr>
      <w:r>
        <w:t xml:space="preserve">Bu kısa rapor</w:t>
      </w:r>
    </w:p>
    <w:p>
      <w:pPr>
        <w:pStyle w:val="Heading1"/>
      </w:pPr>
      <w:r>
        <w:t xml:space="preserve">6. Sonuç</w:t>
      </w:r>
    </w:p>
    <w:p>
      <w:pPr>
        <w:spacing w:after="120" w:before="0" w:line="268"/>
      </w:pPr>
      <w:r>
        <w:t xml:space="preserve">Proje, Tam Öğrenme Modeli’nin ilkelerini (hazırbulunuşluk, üniteye dayalı öğretim, biçimlendirici değerlendirme, geri bildirim-düzeltme, ustalık ölçütü ve zenginleştirme) somut bir yapay zekâ deneyimiyle birleştirmektedir. Öğrenciler, her kavramı bir sonrakine geçmeden önce ustalık düzeyinde öğrenir; “zaman değişken, öğrenme sabit” ilkesi sayesinde kimse “başarısız” olmaz, herkes kendi hızında ustalaşır.</w:t>
      </w:r>
    </w:p>
    <w:p>
      <w:pPr>
        <w:spacing w:after="120" w:before="0" w:line="268"/>
      </w:pPr>
      <w:r>
        <w:t xml:space="preserve">Projenin en güçlü yanı, geliştirilen dijital aracın yalnızca dersi süsleyen bir materyal olmaktan çıkıp öğretim yaklaşımının doğal ve merkezi bir parçası hâline gelmesidir. Tam Öğrenme Modeli’nin uygulamadaki en büyük zorluğu, 30 kişilik bir sınıfta her öğrenciye ayrı ayrı düzeltici geri bildirim vermenin neredeyse imkânsız olmasıdır. Bu araç, tam da bu darboğazı yapay zekâ ile çözer: Gemini API, her öğrencinin hatasına özel ipuçları üreterek öğretmenin tek başına yetişemeyeceği bireysel geri bildirimi ölçeklendirir; öğretmen ise Öğretmen Görünümü panelinden takılan öğrencileri görüp yüz yüze desteğe odaklanır.</w:t>
      </w:r>
    </w:p>
    <w:p>
      <w:pPr>
        <w:spacing w:after="120" w:before="0" w:line="268"/>
      </w:pPr>
      <w:r>
        <w:t xml:space="preserve">Yapay zekâ entegrasyonu üç farklı düzeyde gerçekleştirilmiştir: aracın geliştirilmesinde (Claude Code), dersin canlı içeriğinde (Gemini API ile gerçek zamanlı düzeltici geri bildirim) ve ölçme-değerlendirme boyutunda (gömülü izleme testleri ve anlık ustalık tablosu). Olası bir geliştirme alanı olarak, aracın öğretmenin Gemini API anahtarını önceden girmesini gerektirmesi küçük bir teknik bağımlılık oluşturur; ancak aracın anahtar olmadan da tüm temel işlevleriyle çalışacak biçimde tasarlanmış olması, bu kısıtı sınıf ortamında büyük ölçüde dengelemektedir. Genel olarak proje, Tam Öğrenme Modeli ile yapay zekâ destekli araç geliştirmenin birbirini güçlendirdiği; teorik bir öğretim yaklaşımının, gerçek bir yapay zekâ modeliyle somutlaştırılarak öğrenciler için anlamlı, bireyselleştirilmiş ve kalıcı bir öğrenme deneyimine dönüştürüldüğü bir örnek sunmaktadır.</w:t>
      </w:r>
    </w:p>
    <w:sectPr>
      <w:pgSz w:w="12240" w:h="15840" w:orient="portrait"/>
      <w:pgMar w:top="12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90" w:before="200"/>
      <w:outlineLvl w:val="0"/>
    </w:pPr>
    <w:rPr>
      <w:rFonts w:ascii="Arial" w:cs="Arial" w:eastAsia="Arial" w:hAnsi="Arial"/>
      <w:b/>
      <w:bCs/>
      <w:color w:val="1F2A6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sotkssesw6_5q_jojoli" Type="http://schemas.openxmlformats.org/officeDocument/2006/relationships/hyperlink" Target="https://huseyinaraci42-hub.github.io/Algoritma-Ustalik-Yolu/" TargetMode="External"/><Relationship Id="rIdf6a28pbuehottz-pt75b2" Type="http://schemas.openxmlformats.org/officeDocument/2006/relationships/hyperlink" Target="https://github.com/huseyinaraci42-hub/Algoritma-Ustalik-Yolu"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Hüseyin Aracı</dc:creator>
  <cp:lastModifiedBy>Un-named</cp:lastModifiedBy>
  <cp:revision>1</cp:revision>
  <dcterms:created xsi:type="dcterms:W3CDTF">2026-06-24T12:22:43.668Z</dcterms:created>
  <dcterms:modified xsi:type="dcterms:W3CDTF">2026-06-24T12:22:43.683Z</dcterms:modified>
</cp:coreProperties>
</file>

<file path=docProps/custom.xml><?xml version="1.0" encoding="utf-8"?>
<Properties xmlns="http://schemas.openxmlformats.org/officeDocument/2006/custom-properties" xmlns:vt="http://schemas.openxmlformats.org/officeDocument/2006/docPropsVTypes"/>
</file>