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jc w:val="center"/>
      </w:pPr>
      <w:r>
        <w:rPr>
          <w:rFonts w:ascii="Arial" w:cs="Arial" w:eastAsia="Arial" w:hAnsi="Arial"/>
          <w:b/>
          <w:bCs/>
          <w:color w:val="1F3864"/>
          <w:sz w:val="36"/>
          <w:szCs w:val="36"/>
          <w:rtl/>
        </w:rPr>
        <w:t xml:space="preserve">دليل بناء الحساس الصوتي الكروي واختباره</w:t>
      </w:r>
    </w:p>
    <w:p>
      <w:pPr>
        <w:bidi/>
        <w:spacing w:after="300"/>
        <w:jc w:val="center"/>
      </w:pPr>
      <w:r>
        <w:rPr>
          <w:rFonts w:ascii="Arial" w:cs="Arial" w:eastAsia="Arial" w:hAnsi="Arial"/>
          <w:color w:val="595959"/>
          <w:sz w:val="24"/>
          <w:szCs w:val="24"/>
          <w:rtl/>
        </w:rPr>
        <w:t xml:space="preserve">قائمة القطع، التوصيل، والاختبارات المطلوبة للرد على المحكّم بالبيانات الحقيقية</w:t>
      </w:r>
    </w:p>
    <w:p>
      <w:pPr>
        <w:pStyle w:val="Heading1"/>
        <w:bidi/>
        <w:jc w:val="right"/>
      </w:pPr>
      <w:r>
        <w:rPr>
          <w:rFonts w:ascii="Arial" w:cs="Arial" w:eastAsia="Arial" w:hAnsi="Arial"/>
          <w:rtl/>
        </w:rPr>
        <w:t xml:space="preserve">1. لماذا نحتاج العتاد الحقيقي</w:t>
      </w:r>
    </w:p>
    <w:p>
      <w:pPr>
        <w:bidi/>
        <w:spacing w:after="120" w:line="300"/>
        <w:jc w:val="right"/>
      </w:pPr>
      <w:r>
        <w:rPr>
          <w:rFonts w:ascii="Arial" w:cs="Arial" w:eastAsia="Arial" w:hAnsi="Arial"/>
          <w:rtl/>
        </w:rPr>
        <w:t xml:space="preserve">أهم ملاحظات المحكّم أن كل النتائج من المحاكاة. المحاكاة المحدّثة أصبحت أكثر واقعية (تشتت الكرة الصلبة، أخطاء المعايرة، اختلاف الساعة، ضجيج المراوح الموزّع)، لكنها أظهرت أن </w:t>
      </w:r>
      <w:r>
        <w:rPr>
          <w:rFonts w:ascii="Arial" w:cs="Arial" w:eastAsia="Arial" w:hAnsi="Arial"/>
          <w:b/>
          <w:bCs/>
          <w:rtl/>
        </w:rPr>
        <w:t xml:space="preserve">بعض الأسئلة لا يحسمها إلا القياس</w:t>
      </w:r>
      <w:r>
        <w:rPr>
          <w:rFonts w:ascii="Arial" w:cs="Arial" w:eastAsia="Arial" w:hAnsi="Arial"/>
          <w:rtl/>
        </w:rPr>
        <w:t xml:space="preserve">، أهمها: هل ضجيج مراوح الدرون المستمع مترابط مع ميكروفون مرجعي قريب منها؟ إذا كان مترابطاً تكفي إزالة الضجيج المرجعية ولا حاجة لإيقاف المحركات؛ وإن لم يكن فنوافذ الصمت ضرورية في المسافات البعيدة.</w:t>
      </w:r>
    </w:p>
    <w:p>
      <w:pPr>
        <w:bidi/>
        <w:spacing w:after="120" w:line="300"/>
        <w:jc w:val="right"/>
      </w:pPr>
      <w:r>
        <w:rPr>
          <w:rFonts w:ascii="Arial" w:cs="Arial" w:eastAsia="Arial" w:hAnsi="Arial"/>
          <w:rtl/>
        </w:rPr>
        <w:t xml:space="preserve">نتائج المحاكاة التي تحدد مواصفات العتاد:</w:t>
      </w:r>
    </w:p>
    <w:tbl>
      <w:tblPr>
        <w:bidiVisual/>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tblHeader/>
        </w:trPr>
        <w:tc>
          <w:tcPr>
            <w:tcW w:type="dxa" w:w="4535"/>
            <w:tcBorders>
              <w:top w:val="single" w:color="A6A6A6" w:sz="4"/>
              <w:left w:val="single" w:color="A6A6A6" w:sz="4"/>
              <w:bottom w:val="single" w:color="A6A6A6" w:sz="4"/>
              <w:right w:val="single" w:color="A6A6A6" w:sz="4"/>
            </w:tcBorders>
            <w:shd w:fill="DCE3F0" w:color="auto" w:val="clear"/>
            <w:tcMar>
              <w:top w:type="dxa" w:w="50"/>
              <w:left w:type="dxa" w:w="80"/>
              <w:bottom w:type="dxa" w:w="50"/>
              <w:right w:type="dxa" w:w="80"/>
            </w:tcMar>
          </w:tcPr>
          <w:p>
            <w:pPr>
              <w:bidi/>
              <w:jc w:val="right"/>
            </w:pPr>
            <w:r>
              <w:rPr>
                <w:rFonts w:ascii="Arial" w:cs="Arial" w:eastAsia="Arial" w:hAnsi="Arial"/>
                <w:b/>
                <w:bCs/>
                <w:sz w:val="19"/>
                <w:szCs w:val="19"/>
                <w:rtl/>
              </w:rPr>
              <w:t xml:space="preserve">النتيجة من المحاكاة</w:t>
            </w:r>
          </w:p>
        </w:tc>
        <w:tc>
          <w:tcPr>
            <w:tcW w:type="dxa" w:w="4535"/>
            <w:tcBorders>
              <w:top w:val="single" w:color="A6A6A6" w:sz="4"/>
              <w:left w:val="single" w:color="A6A6A6" w:sz="4"/>
              <w:bottom w:val="single" w:color="A6A6A6" w:sz="4"/>
              <w:right w:val="single" w:color="A6A6A6" w:sz="4"/>
            </w:tcBorders>
            <w:shd w:fill="DCE3F0" w:color="auto" w:val="clear"/>
            <w:tcMar>
              <w:top w:type="dxa" w:w="50"/>
              <w:left w:type="dxa" w:w="80"/>
              <w:bottom w:type="dxa" w:w="50"/>
              <w:right w:type="dxa" w:w="80"/>
            </w:tcMar>
          </w:tcPr>
          <w:p>
            <w:pPr>
              <w:bidi/>
              <w:jc w:val="right"/>
            </w:pPr>
            <w:r>
              <w:rPr>
                <w:rFonts w:ascii="Arial" w:cs="Arial" w:eastAsia="Arial" w:hAnsi="Arial"/>
                <w:b/>
                <w:bCs/>
                <w:sz w:val="19"/>
                <w:szCs w:val="19"/>
                <w:rtl/>
              </w:rPr>
              <w:t xml:space="preserve">ما تعنيه للعتاد</w:t>
            </w:r>
          </w:p>
        </w:tc>
      </w:tr>
      <w:tr>
        <w:tc>
          <w:tcPr>
            <w:tcW w:type="dxa" w:w="4535"/>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اختلاف الساعة بين القنوات 20 ppm أفشل إزالة الضجيج (24 → 8.6 dB) وأفسد الاتجاه (88°)</w:t>
            </w:r>
          </w:p>
        </w:tc>
        <w:tc>
          <w:tcPr>
            <w:tcW w:type="dxa" w:w="4535"/>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كل القنوات (الكرة + المرجع) يجب أن تُسجَّل بجهاز واحد وساعة واحدة</w:t>
            </w:r>
          </w:p>
        </w:tc>
      </w:tr>
      <w:tr>
        <w:tc>
          <w:tcPr>
            <w:tcW w:type="dxa" w:w="4535"/>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خطأ 1 مم في موضع الميكروفون يرفع خطأ الاتجاه من 0.55° إلى 1.1°، و2 مم إلى 2.2°</w:t>
            </w:r>
          </w:p>
        </w:tc>
        <w:tc>
          <w:tcPr>
            <w:tcW w:type="dxa" w:w="4535"/>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طباعة دقيقة للكرة وقياس مواضع الميكروفونات بالقدمة (±0.5 مم)</w:t>
            </w:r>
          </w:p>
        </w:tc>
      </w:tr>
      <w:tr>
        <w:tc>
          <w:tcPr>
            <w:tcW w:type="dxa" w:w="4535"/>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على الكرة الصلبة تعمل الميكروفونات متعددة الاتجاه (Omni): طريقة الشدة 4.1° بدل 82° في الفضاء الحر، وSRP بقيت 0.33°</w:t>
            </w:r>
          </w:p>
        </w:tc>
        <w:tc>
          <w:tcPr>
            <w:tcW w:type="dxa" w:w="4535"/>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تكفي ميكروفونات MEMS رخيصة متعددة الاتجاه؛ لا حاجة لكبسولات قلبية</w:t>
            </w:r>
          </w:p>
        </w:tc>
      </w:tr>
      <w:tr>
        <w:tc>
          <w:tcPr>
            <w:tcW w:type="dxa" w:w="4535"/>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الترابط بين المرجع والمصفوفة يحدد إمكانية إلغاء ضجيج المراوح (0.98 → 17 dB؛ 0.29 → 1.8 dB)</w:t>
            </w:r>
          </w:p>
        </w:tc>
        <w:tc>
          <w:tcPr>
            <w:tcW w:type="dxa" w:w="4535"/>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ميكروفون مرجعي قرب كل مروحة على نفس الجهاز، وقياس الترابط فعلياً</w:t>
            </w:r>
          </w:p>
        </w:tc>
      </w:tr>
    </w:tbl>
    <w:p/>
    <w:p>
      <w:pPr>
        <w:pStyle w:val="Heading1"/>
        <w:bidi/>
        <w:jc w:val="right"/>
      </w:pPr>
      <w:r>
        <w:rPr>
          <w:rFonts w:ascii="Arial" w:cs="Arial" w:eastAsia="Arial" w:hAnsi="Arial"/>
          <w:rtl/>
        </w:rPr>
        <w:t xml:space="preserve">2. الخيار الموصى به: مصفوفة رقمية PDM بساعة واحدة</w:t>
      </w:r>
    </w:p>
    <w:p>
      <w:pPr>
        <w:bidi/>
        <w:spacing w:after="120" w:line="300"/>
        <w:jc w:val="right"/>
      </w:pPr>
      <w:r>
        <w:rPr>
          <w:rFonts w:ascii="Arial" w:cs="Arial" w:eastAsia="Arial" w:hAnsi="Arial"/>
          <w:rtl/>
        </w:rPr>
        <w:t xml:space="preserve">هذا الخيار خفيف (يصلح للتركيب على الدرون وعلى المحطة)، رخيص، وكل القنوات فيه متزامنة لأنها تمر عبر جهاز واحد.</w:t>
      </w:r>
    </w:p>
    <w:tbl>
      <w:tblPr>
        <w:bidiVisual/>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1300"/>
        <w:gridCol w:w="4070"/>
      </w:tblGrid>
      <w:tr>
        <w:trPr>
          <w:tblHeader/>
        </w:trPr>
        <w:tc>
          <w:tcPr>
            <w:tcW w:type="dxa" w:w="3000"/>
            <w:tcBorders>
              <w:top w:val="single" w:color="A6A6A6" w:sz="4"/>
              <w:left w:val="single" w:color="A6A6A6" w:sz="4"/>
              <w:bottom w:val="single" w:color="A6A6A6" w:sz="4"/>
              <w:right w:val="single" w:color="A6A6A6" w:sz="4"/>
            </w:tcBorders>
            <w:shd w:fill="DCE3F0" w:color="auto" w:val="clear"/>
            <w:tcMar>
              <w:top w:type="dxa" w:w="50"/>
              <w:left w:type="dxa" w:w="80"/>
              <w:bottom w:type="dxa" w:w="50"/>
              <w:right w:type="dxa" w:w="80"/>
            </w:tcMar>
          </w:tcPr>
          <w:p>
            <w:pPr>
              <w:bidi/>
              <w:jc w:val="right"/>
            </w:pPr>
            <w:r>
              <w:rPr>
                <w:rFonts w:ascii="Arial" w:cs="Arial" w:eastAsia="Arial" w:hAnsi="Arial"/>
                <w:b/>
                <w:bCs/>
                <w:sz w:val="19"/>
                <w:szCs w:val="19"/>
                <w:rtl/>
              </w:rPr>
              <w:t xml:space="preserve">القطعة</w:t>
            </w:r>
          </w:p>
        </w:tc>
        <w:tc>
          <w:tcPr>
            <w:tcW w:type="dxa" w:w="700"/>
            <w:tcBorders>
              <w:top w:val="single" w:color="A6A6A6" w:sz="4"/>
              <w:left w:val="single" w:color="A6A6A6" w:sz="4"/>
              <w:bottom w:val="single" w:color="A6A6A6" w:sz="4"/>
              <w:right w:val="single" w:color="A6A6A6" w:sz="4"/>
            </w:tcBorders>
            <w:shd w:fill="DCE3F0" w:color="auto" w:val="clear"/>
            <w:tcMar>
              <w:top w:type="dxa" w:w="50"/>
              <w:left w:type="dxa" w:w="80"/>
              <w:bottom w:type="dxa" w:w="50"/>
              <w:right w:type="dxa" w:w="80"/>
            </w:tcMar>
          </w:tcPr>
          <w:p>
            <w:pPr>
              <w:bidi/>
              <w:jc w:val="right"/>
            </w:pPr>
            <w:r>
              <w:rPr>
                <w:rFonts w:ascii="Arial" w:cs="Arial" w:eastAsia="Arial" w:hAnsi="Arial"/>
                <w:b/>
                <w:bCs/>
                <w:sz w:val="19"/>
                <w:szCs w:val="19"/>
                <w:rtl/>
              </w:rPr>
              <w:t xml:space="preserve">العدد</w:t>
            </w:r>
          </w:p>
        </w:tc>
        <w:tc>
          <w:tcPr>
            <w:tcW w:type="dxa" w:w="1300"/>
            <w:tcBorders>
              <w:top w:val="single" w:color="A6A6A6" w:sz="4"/>
              <w:left w:val="single" w:color="A6A6A6" w:sz="4"/>
              <w:bottom w:val="single" w:color="A6A6A6" w:sz="4"/>
              <w:right w:val="single" w:color="A6A6A6" w:sz="4"/>
            </w:tcBorders>
            <w:shd w:fill="DCE3F0" w:color="auto" w:val="clear"/>
            <w:tcMar>
              <w:top w:type="dxa" w:w="50"/>
              <w:left w:type="dxa" w:w="80"/>
              <w:bottom w:type="dxa" w:w="50"/>
              <w:right w:type="dxa" w:w="80"/>
            </w:tcMar>
          </w:tcPr>
          <w:p>
            <w:pPr>
              <w:bidi/>
              <w:jc w:val="right"/>
            </w:pPr>
            <w:r>
              <w:rPr>
                <w:rFonts w:ascii="Arial" w:cs="Arial" w:eastAsia="Arial" w:hAnsi="Arial"/>
                <w:b/>
                <w:bCs/>
                <w:sz w:val="19"/>
                <w:szCs w:val="19"/>
                <w:rtl/>
              </w:rPr>
              <w:t xml:space="preserve">السعر التقريبي</w:t>
            </w:r>
          </w:p>
        </w:tc>
        <w:tc>
          <w:tcPr>
            <w:tcW w:type="dxa" w:w="4070"/>
            <w:tcBorders>
              <w:top w:val="single" w:color="A6A6A6" w:sz="4"/>
              <w:left w:val="single" w:color="A6A6A6" w:sz="4"/>
              <w:bottom w:val="single" w:color="A6A6A6" w:sz="4"/>
              <w:right w:val="single" w:color="A6A6A6" w:sz="4"/>
            </w:tcBorders>
            <w:shd w:fill="DCE3F0" w:color="auto" w:val="clear"/>
            <w:tcMar>
              <w:top w:type="dxa" w:w="50"/>
              <w:left w:type="dxa" w:w="80"/>
              <w:bottom w:type="dxa" w:w="50"/>
              <w:right w:type="dxa" w:w="80"/>
            </w:tcMar>
          </w:tcPr>
          <w:p>
            <w:pPr>
              <w:bidi/>
              <w:jc w:val="right"/>
            </w:pPr>
            <w:r>
              <w:rPr>
                <w:rFonts w:ascii="Arial" w:cs="Arial" w:eastAsia="Arial" w:hAnsi="Arial"/>
                <w:b/>
                <w:bCs/>
                <w:sz w:val="19"/>
                <w:szCs w:val="19"/>
                <w:rtl/>
              </w:rPr>
              <w:t xml:space="preserve">ملاحظات</w:t>
            </w:r>
          </w:p>
        </w:tc>
      </w:tr>
      <w:tr>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miniDSP MCHStreamer Kit</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1</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105 $</w:t>
            </w:r>
          </w:p>
        </w:tc>
        <w:tc>
          <w:tcPr>
            <w:tcW w:type="dxa" w:w="407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واجهة USB صوتية (UAC2) تسجّل حتى 16 ميكروفون PDM بساعة واحدة؛ لوحة 40×62 مم</w:t>
            </w:r>
          </w:p>
        </w:tc>
      </w:tr>
      <w:tr>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Adafruit PDM MEMS Microphone Breakout (رقم 3492، شريحة MP34DT01-M)</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12</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 7 $ للقطعة</w:t>
            </w:r>
          </w:p>
        </w:tc>
        <w:tc>
          <w:tcPr>
            <w:tcW w:type="dxa" w:w="407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6 للكرة + 4 مرجعية قرب المراوح + 1 مرجعي للمحطة + 1 احتياطي؛ SNR 61 dB؛ 1.8–3.3 V</w:t>
            </w:r>
          </w:p>
        </w:tc>
      </w:tr>
      <w:tr>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الكرة المطبوعة ثلاثياً (نصفا كرة، قطر 160 مم)</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1</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حسب الطباعة</w:t>
            </w:r>
          </w:p>
        </w:tc>
        <w:tc>
          <w:tcPr>
            <w:tcW w:type="dxa" w:w="407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تصميمك الحالي؛ ثقوب الميكروفونات على ±x ±y ±z بدقة ±0.5 مم</w:t>
            </w:r>
          </w:p>
        </w:tc>
      </w:tr>
      <w:tr>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كابلات قصيرة مُدرّعة + موصلات</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 15 $</w:t>
            </w:r>
          </w:p>
        </w:tc>
        <w:tc>
          <w:tcPr>
            <w:tcW w:type="dxa" w:w="407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خطوط PDM قصيرة قدر الإمكان (الكرة نصف قطرها 8 سم فقط)</w:t>
            </w:r>
          </w:p>
        </w:tc>
      </w:tr>
      <w:tr>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أغطية رياح (إسفنج/فرو) صغيرة</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6–10</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 10 $</w:t>
            </w:r>
          </w:p>
        </w:tc>
        <w:tc>
          <w:tcPr>
            <w:tcW w:type="dxa" w:w="407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ضرورية في الطيران والخارج</w:t>
            </w:r>
          </w:p>
        </w:tc>
      </w:tr>
      <w:tr>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Raspberry Pi 5 (أو 4) + بطاقة microSD</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1</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 70–90 $</w:t>
            </w:r>
          </w:p>
        </w:tc>
        <w:tc>
          <w:tcPr>
            <w:tcW w:type="dxa" w:w="407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للتسجيل على الدرون؛ في المحطة يكفي حاسوب محمول</w:t>
            </w:r>
          </w:p>
        </w:tc>
      </w:tr>
      <w:tr>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مكبر صوت صغير</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1</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 20–40 $</w:t>
            </w:r>
          </w:p>
        </w:tc>
        <w:tc>
          <w:tcPr>
            <w:tcW w:type="dxa" w:w="407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يعمل كمنارة (Beacon) واختبارات الاتجاه؛ استجابة جيدة 3–6 kHz</w:t>
            </w:r>
          </w:p>
        </w:tc>
      </w:tr>
      <w:tr>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مقياس مستوى صوت Class 2 (IEC 61672)</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1</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 100–300 $</w:t>
            </w:r>
          </w:p>
        </w:tc>
        <w:tc>
          <w:tcPr>
            <w:tcW w:type="dxa" w:w="407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لمعايرة مستوى 1 م للمنارة وللدرون</w:t>
            </w:r>
          </w:p>
        </w:tc>
      </w:tr>
      <w:tr>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متحكمات سرعة (ESC) بقياس RPM ثنائي الاتجاه (Bidirectional DShot: Bluejay / AM32 / BLHeli_32)</w:t>
            </w:r>
          </w:p>
        </w:tc>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حسب الدرون</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غالباً موجودة</w:t>
            </w:r>
          </w:p>
        </w:tc>
        <w:tc>
          <w:tcPr>
            <w:tcW w:type="dxa" w:w="407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تعطي RPM كل مروحة وتدعم الكبح النشط لنوافذ الصمت</w:t>
            </w:r>
          </w:p>
        </w:tc>
      </w:tr>
    </w:tbl>
    <w:p/>
    <w:p>
      <w:pPr>
        <w:bidi/>
        <w:spacing w:after="120" w:line="300"/>
        <w:jc w:val="right"/>
      </w:pPr>
      <w:r>
        <w:rPr>
          <w:rFonts w:ascii="Arial" w:cs="Arial" w:eastAsia="Arial" w:hAnsi="Arial"/>
          <w:b/>
          <w:bCs/>
          <w:rtl/>
        </w:rPr>
        <w:t xml:space="preserve">التوصيل:</w:t>
      </w:r>
      <w:r>
        <w:rPr>
          <w:rFonts w:ascii="Arial" w:cs="Arial" w:eastAsia="Arial" w:hAnsi="Arial"/>
          <w:rtl/>
        </w:rPr>
        <w:t xml:space="preserve"> يوصل كل ميكروفونين PDM على خط بيانات واحد (أحدهما يسار والآخر يمين بتوصيل طرف SEL)، وكل الميكروفونات تأخذ نفس خط الساعة من MCHStreamer؛ حمّل برنامج PDM الخاص بـ MCHStreamer من موقع miniDSP. رتّب القنوات هكذا: 0–5 للكرة بالترتيب (+x, −x, +y, −y, +z, −z)، ثم 6–9 للمراجع قرب المراوح، ثم 10 لمرجع المحطة.</w:t>
      </w:r>
    </w:p>
    <w:p>
      <w:pPr>
        <w:bidi/>
        <w:spacing w:after="120" w:line="300"/>
        <w:jc w:val="right"/>
      </w:pPr>
      <w:r>
        <w:rPr>
          <w:rFonts w:ascii="Arial" w:cs="Arial" w:eastAsia="Arial" w:hAnsi="Arial"/>
          <w:b/>
          <w:bCs/>
          <w:rtl/>
        </w:rPr>
        <w:t xml:space="preserve">تنبيه:</w:t>
      </w:r>
      <w:r>
        <w:rPr>
          <w:rFonts w:ascii="Arial" w:cs="Arial" w:eastAsia="Arial" w:hAnsi="Arial"/>
          <w:rtl/>
        </w:rPr>
        <w:t xml:space="preserve"> ميكروفون TDK ICS-52000 (نوع TDM) مُدرج لدى الشركة المصنعة بأنه غير موصى به للتصاميم الجديدة، لذلك لم أعتمده.</w:t>
      </w:r>
    </w:p>
    <w:p>
      <w:pPr>
        <w:pStyle w:val="Heading1"/>
        <w:bidi/>
        <w:jc w:val="right"/>
      </w:pPr>
      <w:r>
        <w:rPr>
          <w:rFonts w:ascii="Arial" w:cs="Arial" w:eastAsia="Arial" w:hAnsi="Arial"/>
          <w:rtl/>
        </w:rPr>
        <w:t xml:space="preserve">3. خيارات أخرى</w:t>
      </w:r>
    </w:p>
    <w:tbl>
      <w:tblPr>
        <w:bidiVisual/>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600"/>
        <w:gridCol w:w="1700"/>
        <w:gridCol w:w="3770"/>
      </w:tblGrid>
      <w:tr>
        <w:trPr>
          <w:tblHeader/>
        </w:trPr>
        <w:tc>
          <w:tcPr>
            <w:tcW w:type="dxa" w:w="3600"/>
            <w:tcBorders>
              <w:top w:val="single" w:color="A6A6A6" w:sz="4"/>
              <w:left w:val="single" w:color="A6A6A6" w:sz="4"/>
              <w:bottom w:val="single" w:color="A6A6A6" w:sz="4"/>
              <w:right w:val="single" w:color="A6A6A6" w:sz="4"/>
            </w:tcBorders>
            <w:shd w:fill="DCE3F0" w:color="auto" w:val="clear"/>
            <w:tcMar>
              <w:top w:type="dxa" w:w="50"/>
              <w:left w:type="dxa" w:w="80"/>
              <w:bottom w:type="dxa" w:w="50"/>
              <w:right w:type="dxa" w:w="80"/>
            </w:tcMar>
          </w:tcPr>
          <w:p>
            <w:pPr>
              <w:bidi/>
              <w:jc w:val="right"/>
            </w:pPr>
            <w:r>
              <w:rPr>
                <w:rFonts w:ascii="Arial" w:cs="Arial" w:eastAsia="Arial" w:hAnsi="Arial"/>
                <w:b/>
                <w:bCs/>
                <w:sz w:val="19"/>
                <w:szCs w:val="19"/>
                <w:rtl/>
              </w:rPr>
              <w:t xml:space="preserve">الخيار</w:t>
            </w:r>
          </w:p>
        </w:tc>
        <w:tc>
          <w:tcPr>
            <w:tcW w:type="dxa" w:w="1700"/>
            <w:tcBorders>
              <w:top w:val="single" w:color="A6A6A6" w:sz="4"/>
              <w:left w:val="single" w:color="A6A6A6" w:sz="4"/>
              <w:bottom w:val="single" w:color="A6A6A6" w:sz="4"/>
              <w:right w:val="single" w:color="A6A6A6" w:sz="4"/>
            </w:tcBorders>
            <w:shd w:fill="DCE3F0" w:color="auto" w:val="clear"/>
            <w:tcMar>
              <w:top w:type="dxa" w:w="50"/>
              <w:left w:type="dxa" w:w="80"/>
              <w:bottom w:type="dxa" w:w="50"/>
              <w:right w:type="dxa" w:w="80"/>
            </w:tcMar>
          </w:tcPr>
          <w:p>
            <w:pPr>
              <w:bidi/>
              <w:jc w:val="right"/>
            </w:pPr>
            <w:r>
              <w:rPr>
                <w:rFonts w:ascii="Arial" w:cs="Arial" w:eastAsia="Arial" w:hAnsi="Arial"/>
                <w:b/>
                <w:bCs/>
                <w:sz w:val="19"/>
                <w:szCs w:val="19"/>
                <w:rtl/>
              </w:rPr>
              <w:t xml:space="preserve">متى يناسب</w:t>
            </w:r>
          </w:p>
        </w:tc>
        <w:tc>
          <w:tcPr>
            <w:tcW w:type="dxa" w:w="3770"/>
            <w:tcBorders>
              <w:top w:val="single" w:color="A6A6A6" w:sz="4"/>
              <w:left w:val="single" w:color="A6A6A6" w:sz="4"/>
              <w:bottom w:val="single" w:color="A6A6A6" w:sz="4"/>
              <w:right w:val="single" w:color="A6A6A6" w:sz="4"/>
            </w:tcBorders>
            <w:shd w:fill="DCE3F0" w:color="auto" w:val="clear"/>
            <w:tcMar>
              <w:top w:type="dxa" w:w="50"/>
              <w:left w:type="dxa" w:w="80"/>
              <w:bottom w:type="dxa" w:w="50"/>
              <w:right w:type="dxa" w:w="80"/>
            </w:tcMar>
          </w:tcPr>
          <w:p>
            <w:pPr>
              <w:bidi/>
              <w:jc w:val="right"/>
            </w:pPr>
            <w:r>
              <w:rPr>
                <w:rFonts w:ascii="Arial" w:cs="Arial" w:eastAsia="Arial" w:hAnsi="Arial"/>
                <w:b/>
                <w:bCs/>
                <w:sz w:val="19"/>
                <w:szCs w:val="19"/>
                <w:rtl/>
              </w:rPr>
              <w:t xml:space="preserve">ملاحظات</w:t>
            </w:r>
          </w:p>
        </w:tc>
      </w:tr>
      <w:tr>
        <w:tc>
          <w:tcPr>
            <w:tcW w:type="dxa" w:w="36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واجهة تناظرية Behringer UMC1820 (8 مداخل بساعة واحدة، ≈ 200 $ فأكثر) + ميكروفونات مكثفة صغيرة + لاقط اهتزاز Piezo</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المحطة الأرضية فقط</w:t>
            </w:r>
          </w:p>
        </w:tc>
        <w:tc>
          <w:tcPr>
            <w:tcW w:type="dxa" w:w="377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أثقل؛ يسمح بإضافة حساس اهتزاز على نفس الساعة</w:t>
            </w:r>
          </w:p>
        </w:tc>
      </w:tr>
      <w:tr>
        <w:tc>
          <w:tcPr>
            <w:tcW w:type="dxa" w:w="36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مصفوفة كروية تجارية ZYLIA ZM-1S (19 ميكروفون MEMS، USB)</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تحقق سريع دون بناء</w:t>
            </w:r>
          </w:p>
        </w:tc>
        <w:tc>
          <w:tcPr>
            <w:tcW w:type="dxa" w:w="377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مرتفعة الثمن جداً (حزمة ZYLIA PRO مدرجة بنحو 9,300 يورو)؛ الكود يقبل أي هندسة كروية</w:t>
            </w:r>
          </w:p>
        </w:tc>
      </w:tr>
    </w:tbl>
    <w:p/>
    <w:p>
      <w:pPr>
        <w:pStyle w:val="Heading1"/>
        <w:bidi/>
        <w:jc w:val="right"/>
      </w:pPr>
      <w:r>
        <w:rPr>
          <w:rFonts w:ascii="Arial" w:cs="Arial" w:eastAsia="Arial" w:hAnsi="Arial"/>
          <w:rtl/>
        </w:rPr>
        <w:t xml:space="preserve">4. الاختبارات المطلوبة (بالترتيب)</w:t>
      </w:r>
    </w:p>
    <w:tbl>
      <w:tblPr>
        <w:bidiVisual/>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4870"/>
        <w:gridCol w:w="1500"/>
      </w:tblGrid>
      <w:tr>
        <w:trPr>
          <w:tblHeader/>
        </w:trPr>
        <w:tc>
          <w:tcPr>
            <w:tcW w:type="dxa" w:w="600"/>
            <w:tcBorders>
              <w:top w:val="single" w:color="A6A6A6" w:sz="4"/>
              <w:left w:val="single" w:color="A6A6A6" w:sz="4"/>
              <w:bottom w:val="single" w:color="A6A6A6" w:sz="4"/>
              <w:right w:val="single" w:color="A6A6A6" w:sz="4"/>
            </w:tcBorders>
            <w:shd w:fill="DCE3F0" w:color="auto" w:val="clear"/>
            <w:tcMar>
              <w:top w:type="dxa" w:w="50"/>
              <w:left w:type="dxa" w:w="80"/>
              <w:bottom w:type="dxa" w:w="50"/>
              <w:right w:type="dxa" w:w="80"/>
            </w:tcMar>
          </w:tcPr>
          <w:p>
            <w:pPr>
              <w:bidi/>
              <w:jc w:val="right"/>
            </w:pPr>
            <w:r>
              <w:rPr>
                <w:rFonts w:ascii="Arial" w:cs="Arial" w:eastAsia="Arial" w:hAnsi="Arial"/>
                <w:b/>
                <w:bCs/>
                <w:sz w:val="19"/>
                <w:szCs w:val="19"/>
                <w:rtl/>
              </w:rPr>
              <w:t xml:space="preserve">#</w:t>
            </w:r>
          </w:p>
        </w:tc>
        <w:tc>
          <w:tcPr>
            <w:tcW w:type="dxa" w:w="2100"/>
            <w:tcBorders>
              <w:top w:val="single" w:color="A6A6A6" w:sz="4"/>
              <w:left w:val="single" w:color="A6A6A6" w:sz="4"/>
              <w:bottom w:val="single" w:color="A6A6A6" w:sz="4"/>
              <w:right w:val="single" w:color="A6A6A6" w:sz="4"/>
            </w:tcBorders>
            <w:shd w:fill="DCE3F0" w:color="auto" w:val="clear"/>
            <w:tcMar>
              <w:top w:type="dxa" w:w="50"/>
              <w:left w:type="dxa" w:w="80"/>
              <w:bottom w:type="dxa" w:w="50"/>
              <w:right w:type="dxa" w:w="80"/>
            </w:tcMar>
          </w:tcPr>
          <w:p>
            <w:pPr>
              <w:bidi/>
              <w:jc w:val="right"/>
            </w:pPr>
            <w:r>
              <w:rPr>
                <w:rFonts w:ascii="Arial" w:cs="Arial" w:eastAsia="Arial" w:hAnsi="Arial"/>
                <w:b/>
                <w:bCs/>
                <w:sz w:val="19"/>
                <w:szCs w:val="19"/>
                <w:rtl/>
              </w:rPr>
              <w:t xml:space="preserve">الاختبار</w:t>
            </w:r>
          </w:p>
        </w:tc>
        <w:tc>
          <w:tcPr>
            <w:tcW w:type="dxa" w:w="4870"/>
            <w:tcBorders>
              <w:top w:val="single" w:color="A6A6A6" w:sz="4"/>
              <w:left w:val="single" w:color="A6A6A6" w:sz="4"/>
              <w:bottom w:val="single" w:color="A6A6A6" w:sz="4"/>
              <w:right w:val="single" w:color="A6A6A6" w:sz="4"/>
            </w:tcBorders>
            <w:shd w:fill="DCE3F0" w:color="auto" w:val="clear"/>
            <w:tcMar>
              <w:top w:type="dxa" w:w="50"/>
              <w:left w:type="dxa" w:w="80"/>
              <w:bottom w:type="dxa" w:w="50"/>
              <w:right w:type="dxa" w:w="80"/>
            </w:tcMar>
          </w:tcPr>
          <w:p>
            <w:pPr>
              <w:bidi/>
              <w:jc w:val="right"/>
            </w:pPr>
            <w:r>
              <w:rPr>
                <w:rFonts w:ascii="Arial" w:cs="Arial" w:eastAsia="Arial" w:hAnsi="Arial"/>
                <w:b/>
                <w:bCs/>
                <w:sz w:val="19"/>
                <w:szCs w:val="19"/>
                <w:rtl/>
              </w:rPr>
              <w:t xml:space="preserve">الإجراء</w:t>
            </w:r>
          </w:p>
        </w:tc>
        <w:tc>
          <w:tcPr>
            <w:tcW w:type="dxa" w:w="1500"/>
            <w:tcBorders>
              <w:top w:val="single" w:color="A6A6A6" w:sz="4"/>
              <w:left w:val="single" w:color="A6A6A6" w:sz="4"/>
              <w:bottom w:val="single" w:color="A6A6A6" w:sz="4"/>
              <w:right w:val="single" w:color="A6A6A6" w:sz="4"/>
            </w:tcBorders>
            <w:shd w:fill="DCE3F0" w:color="auto" w:val="clear"/>
            <w:tcMar>
              <w:top w:type="dxa" w:w="50"/>
              <w:left w:type="dxa" w:w="80"/>
              <w:bottom w:type="dxa" w:w="50"/>
              <w:right w:type="dxa" w:w="80"/>
            </w:tcMar>
          </w:tcPr>
          <w:p>
            <w:pPr>
              <w:bidi/>
              <w:jc w:val="right"/>
            </w:pPr>
            <w:r>
              <w:rPr>
                <w:rFonts w:ascii="Arial" w:cs="Arial" w:eastAsia="Arial" w:hAnsi="Arial"/>
                <w:b/>
                <w:bCs/>
                <w:sz w:val="19"/>
                <w:szCs w:val="19"/>
                <w:rtl/>
              </w:rPr>
              <w:t xml:space="preserve">تعليق المحكّم</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T1</w:t>
            </w:r>
          </w:p>
        </w:tc>
        <w:tc>
          <w:tcPr>
            <w:tcW w:type="dxa" w:w="21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معايرة الحساس</w:t>
            </w:r>
          </w:p>
        </w:tc>
        <w:tc>
          <w:tcPr>
            <w:tcW w:type="dxa" w:w="487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قياس مواضع الميكروفونات بالقدمة، ومعايرة الكسب بمقياس الصوت؛ إنشاء ملف الهندسة</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Major 1</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T2</w:t>
            </w:r>
          </w:p>
        </w:tc>
        <w:tc>
          <w:tcPr>
            <w:tcW w:type="dxa" w:w="21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اختبار الاتجاه بمكبر صوت (خارجاً أو غرفة هادئة)</w:t>
            </w:r>
          </w:p>
        </w:tc>
        <w:tc>
          <w:tcPr>
            <w:tcW w:type="dxa" w:w="487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شبكة اتجاهات (سمت كل 30°، ارتفاع −30° إلى 60°) على 3–20 م؛ الاتجاه الحقيقي بليزر/زاوية؛ مقارنة نموذج الكرة بنموذج الفضاء الحر</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Major 1, 3</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T3</w:t>
            </w:r>
          </w:p>
        </w:tc>
        <w:tc>
          <w:tcPr>
            <w:tcW w:type="dxa" w:w="21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ترابط ضجيج المراوح</w:t>
            </w:r>
          </w:p>
        </w:tc>
        <w:tc>
          <w:tcPr>
            <w:tcW w:type="dxa" w:w="487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الكرة على الدرون (مربوط أو على منصة اختبار)، المحركات على سرعة التحويم، دون منارة؛ تسجيل 30 ث بكل القنوات ثم حساب الترابط</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Major 2 (الأهم)</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T4</w:t>
            </w:r>
          </w:p>
        </w:tc>
        <w:tc>
          <w:tcPr>
            <w:tcW w:type="dxa" w:w="21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الكبح ونافذة الصمت</w:t>
            </w:r>
          </w:p>
        </w:tc>
        <w:tc>
          <w:tcPr>
            <w:tcW w:type="dxa" w:w="487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قياس زمن توقف المروحة بالكبح النشط من بيانات RPM، والضجيج المتبقي داخل 0.2 ث، والدفع عند الاستعادة (ميزان دفع)</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Major 7</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T5</w:t>
            </w:r>
          </w:p>
        </w:tc>
        <w:tc>
          <w:tcPr>
            <w:tcW w:type="dxa" w:w="21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معايرة المستوى L1m</w:t>
            </w:r>
          </w:p>
        </w:tc>
        <w:tc>
          <w:tcPr>
            <w:tcW w:type="dxa" w:w="487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تسجيل الدرون المستهدف والمنارة على مسافة معروفة (3 م) وتحويلها إلى 1 م</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Major 7, Minor 9</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T6</w:t>
            </w:r>
          </w:p>
        </w:tc>
        <w:tc>
          <w:tcPr>
            <w:tcW w:type="dxa" w:w="21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تسجيلات البصمة</w:t>
            </w:r>
          </w:p>
        </w:tc>
        <w:tc>
          <w:tcPr>
            <w:tcW w:type="dxa" w:w="487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تسجيل الدرون الحقيقي بعدة سرعات ومسافات وفي أيام مختلفة (جلسات) لتدريب وتقييم بلا تسرّب</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Major 5</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T7</w:t>
            </w:r>
          </w:p>
        </w:tc>
        <w:tc>
          <w:tcPr>
            <w:tcW w:type="dxa" w:w="21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تجربة المحطة الخارجية</w:t>
            </w:r>
          </w:p>
        </w:tc>
        <w:tc>
          <w:tcPr>
            <w:tcW w:type="dxa" w:w="487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اقتراب الدرون للهبوط مع موقع حقيقي من GNSS-RTK أو سجل الطيار الآلي</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Major 6</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T8</w:t>
            </w:r>
          </w:p>
        </w:tc>
        <w:tc>
          <w:tcPr>
            <w:tcW w:type="dxa" w:w="21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بيانات DREGON</w:t>
            </w:r>
          </w:p>
        </w:tc>
        <w:tc>
          <w:tcPr>
            <w:tcW w:type="dxa" w:w="487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تنزيلها من dregon.inria.fr وتحويل الحقيقة الأرضية إلى ملف CSV ثم تقييم المقدّر</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bidi/>
              <w:jc w:val="right"/>
            </w:pPr>
            <w:r>
              <w:rPr>
                <w:rFonts w:ascii="Arial" w:cs="Arial" w:eastAsia="Arial" w:hAnsi="Arial"/>
                <w:sz w:val="19"/>
                <w:szCs w:val="19"/>
                <w:rtl/>
              </w:rPr>
              <w:t xml:space="preserve">Major 1, 8</w:t>
            </w:r>
          </w:p>
        </w:tc>
      </w:tr>
    </w:tbl>
    <w:p/>
    <w:p>
      <w:pPr>
        <w:pStyle w:val="Heading1"/>
        <w:bidi/>
        <w:jc w:val="right"/>
      </w:pPr>
      <w:r>
        <w:rPr>
          <w:rFonts w:ascii="Arial" w:cs="Arial" w:eastAsia="Arial" w:hAnsi="Arial"/>
          <w:rtl/>
        </w:rPr>
        <w:t xml:space="preserve">5. الأوامر الجاهزة في المستودع</w:t>
      </w:r>
    </w:p>
    <w:p>
      <w:pPr>
        <w:bidi/>
        <w:spacing w:after="120" w:line="300"/>
        <w:jc w:val="right"/>
      </w:pPr>
      <w:r>
        <w:rPr>
          <w:rFonts w:ascii="Arial" w:cs="Arial" w:eastAsia="Arial" w:hAnsi="Arial"/>
          <w:rtl/>
        </w:rPr>
        <w:t xml:space="preserve">بعد التوصيل والتسجيل، كل التحليلات جاهزة في المستودع:</w:t>
      </w:r>
    </w:p>
    <w:p>
      <w:pPr>
        <w:shd w:fill="F2F2F2" w:color="auto" w:val="clear"/>
        <w:spacing w:after="40"/>
        <w:jc w:val="left"/>
      </w:pPr>
      <w:r>
        <w:rPr>
          <w:rFonts w:ascii="Consolas" w:cs="Consolas" w:eastAsia="Consolas" w:hAnsi="Consolas"/>
          <w:sz w:val="18"/>
          <w:szCs w:val="18"/>
        </w:rPr>
        <w:t xml:space="preserve">pip install -r requirements.txt sounddevice</w:t>
      </w:r>
    </w:p>
    <w:p>
      <w:pPr>
        <w:shd w:fill="F2F2F2" w:color="auto" w:val="clear"/>
        <w:spacing w:after="40"/>
        <w:jc w:val="left"/>
      </w:pPr>
      <w:r>
        <w:rPr>
          <w:rFonts w:ascii="Consolas" w:cs="Consolas" w:eastAsia="Consolas" w:hAnsi="Consolas"/>
          <w:sz w:val="18"/>
          <w:szCs w:val="18"/>
        </w:rPr>
        <w:t xml:space="preserve">python experiments/record.py --list</w:t>
      </w:r>
    </w:p>
    <w:p>
      <w:pPr>
        <w:shd w:fill="F2F2F2" w:color="auto" w:val="clear"/>
        <w:spacing w:after="40"/>
        <w:jc w:val="left"/>
      </w:pPr>
      <w:r>
        <w:rPr>
          <w:rFonts w:ascii="Consolas" w:cs="Consolas" w:eastAsia="Consolas" w:hAnsi="Consolas"/>
          <w:sz w:val="18"/>
          <w:szCs w:val="18"/>
        </w:rPr>
        <w:t xml:space="preserve">python experiments/record.py --device 3 --channels 11 --seconds 30 --out T3_rotors.wav</w:t>
      </w:r>
    </w:p>
    <w:p>
      <w:pPr>
        <w:shd w:fill="F2F2F2" w:color="auto" w:val="clear"/>
        <w:spacing w:after="40"/>
        <w:jc w:val="left"/>
      </w:pPr>
      <w:r>
        <w:rPr>
          <w:rFonts w:ascii="Consolas" w:cs="Consolas" w:eastAsia="Consolas" w:hAnsi="Consolas"/>
          <w:sz w:val="18"/>
          <w:szCs w:val="18"/>
        </w:rPr>
        <w:t xml:space="preserve">python -m droneloc sphere-geometry sphere160.csv</w:t>
      </w:r>
    </w:p>
    <w:p>
      <w:pPr>
        <w:shd w:fill="F2F2F2" w:color="auto" w:val="clear"/>
        <w:spacing w:after="40"/>
        <w:jc w:val="left"/>
      </w:pPr>
      <w:r>
        <w:rPr>
          <w:rFonts w:ascii="Consolas" w:cs="Consolas" w:eastAsia="Consolas" w:hAnsi="Consolas"/>
          <w:sz w:val="18"/>
          <w:szCs w:val="18"/>
        </w:rPr>
        <w:t xml:space="preserve">python -m droneloc coherence --wav T3_rotors.wav --array 0,1,2,3,4,5 --refs 6,7,8,9 --band 3000,6000</w:t>
      </w:r>
    </w:p>
    <w:p>
      <w:pPr>
        <w:shd w:fill="F2F2F2" w:color="auto" w:val="clear"/>
        <w:spacing w:after="40"/>
        <w:jc w:val="left"/>
      </w:pPr>
      <w:r>
        <w:rPr>
          <w:rFonts w:ascii="Consolas" w:cs="Consolas" w:eastAsia="Consolas" w:hAnsi="Consolas"/>
          <w:sz w:val="18"/>
          <w:szCs w:val="18"/>
        </w:rPr>
        <w:t xml:space="preserve">python -m droneloc evaluate-array --wav T2_speaker.wav --geometry sphere160.csv --truth T2_truth.csv --band 3000,6000 --steering sphere</w:t>
      </w:r>
    </w:p>
    <w:p>
      <w:pPr>
        <w:shd w:fill="F2F2F2" w:color="auto" w:val="clear"/>
        <w:spacing w:after="40"/>
        <w:jc w:val="left"/>
      </w:pPr>
      <w:r>
        <w:rPr>
          <w:rFonts w:ascii="Consolas" w:cs="Consolas" w:eastAsia="Consolas" w:hAnsi="Consolas"/>
          <w:sz w:val="18"/>
          <w:szCs w:val="18"/>
        </w:rPr>
        <w:t xml:space="preserve">python -m droneloc evaluate-array --wav T7_station.wav --geometry sphere160.csv --truth T7_truth.csv --bpf 105,200 --refs 10 --cal 0,8 --steering sphere</w:t>
      </w:r>
    </w:p>
    <w:p/>
    <w:p>
      <w:pPr>
        <w:bidi/>
        <w:spacing w:after="120" w:line="300"/>
        <w:jc w:val="right"/>
      </w:pPr>
      <w:r>
        <w:rPr>
          <w:rFonts w:ascii="Arial" w:cs="Arial" w:eastAsia="Arial" w:hAnsi="Arial"/>
          <w:b/>
          <w:bCs/>
          <w:rtl/>
        </w:rPr>
        <w:t xml:space="preserve">قاعدة قرار T3:</w:t>
      </w:r>
      <w:r>
        <w:rPr>
          <w:rFonts w:ascii="Arial" w:cs="Arial" w:eastAsia="Arial" w:hAnsi="Arial"/>
          <w:rtl/>
        </w:rPr>
        <w:t xml:space="preserve"> إذا كانت نتيجة الإلغاء الممكن في نطاق 3–6 kHz أكبر من نحو 15 dB فإزالة الضجيج المرجعية تكفي للمسافات حتى 80 م تقريباً دون إيقاف المحركات؛ وإذا كانت أقل من نحو 5 dB فنوافذ الصمت ضرورية للمسافات البعيدة (هذا ما أظهرته المحاكاة للنموذجين).</w:t>
      </w:r>
    </w:p>
    <w:p>
      <w:pPr>
        <w:bidi/>
        <w:spacing w:after="120" w:line="300"/>
        <w:jc w:val="right"/>
      </w:pPr>
      <w:r>
        <w:rPr>
          <w:rFonts w:ascii="Arial" w:cs="Arial" w:eastAsia="Arial" w:hAnsi="Arial"/>
          <w:b/>
          <w:bCs/>
          <w:rtl/>
        </w:rPr>
        <w:t xml:space="preserve">ملف الحقيقة (truth CSV):</w:t>
      </w:r>
      <w:r>
        <w:rPr>
          <w:rFonts w:ascii="Arial" w:cs="Arial" w:eastAsia="Arial" w:hAnsi="Arial"/>
          <w:rtl/>
        </w:rPr>
        <w:t xml:space="preserve"> أعمدة t_start,t_end,azimuth_deg,elevation_deg بالثواني والدرجات في إطار الكرة (x للأمام، y لليسار، z للأعلى).</w:t>
      </w:r>
    </w:p>
    <w:p>
      <w:pPr>
        <w:pStyle w:val="Heading1"/>
        <w:bidi/>
        <w:jc w:val="right"/>
      </w:pPr>
      <w:r>
        <w:rPr>
          <w:rFonts w:ascii="Arial" w:cs="Arial" w:eastAsia="Arial" w:hAnsi="Arial"/>
          <w:rtl/>
        </w:rPr>
        <w:t xml:space="preserve">6. ملاحظات السلامة</w:t>
      </w:r>
    </w:p>
    <w:p>
      <w:pPr>
        <w:pStyle w:val="ListParagraph"/>
        <w:numPr>
          <w:ilvl w:val="0"/>
          <w:numId w:val="2"/>
        </w:numPr>
        <w:bidi/>
        <w:spacing w:after="60" w:line="300"/>
        <w:jc w:val="right"/>
      </w:pPr>
      <w:r>
        <w:rPr>
          <w:rFonts w:ascii="Arial" w:cs="Arial" w:eastAsia="Arial" w:hAnsi="Arial"/>
          <w:rtl/>
        </w:rPr>
        <w:t xml:space="preserve">اختبر الكبح النشط أولاً على منصة اختبار مثبتة، ثم مربوطاً بحبل، قبل أي طيران حر.</w:t>
      </w:r>
    </w:p>
    <w:p>
      <w:pPr>
        <w:pStyle w:val="ListParagraph"/>
        <w:numPr>
          <w:ilvl w:val="0"/>
          <w:numId w:val="2"/>
        </w:numPr>
        <w:bidi/>
        <w:spacing w:after="60" w:line="300"/>
        <w:jc w:val="right"/>
      </w:pPr>
      <w:r>
        <w:rPr>
          <w:rFonts w:ascii="Arial" w:cs="Arial" w:eastAsia="Arial" w:hAnsi="Arial"/>
          <w:rtl/>
        </w:rPr>
        <w:t xml:space="preserve">نافذة الصمت تُسقط الدرون نحو 0.3–0.44 م؛ ابدأ على ارتفاع آمن (≥ 20 م) ومع هامش بطارية.</w:t>
      </w:r>
    </w:p>
    <w:p>
      <w:pPr>
        <w:pStyle w:val="ListParagraph"/>
        <w:numPr>
          <w:ilvl w:val="0"/>
          <w:numId w:val="2"/>
        </w:numPr>
        <w:bidi/>
        <w:spacing w:after="60" w:line="300"/>
        <w:jc w:val="right"/>
      </w:pPr>
      <w:r>
        <w:rPr>
          <w:rFonts w:ascii="Arial" w:cs="Arial" w:eastAsia="Arial" w:hAnsi="Arial"/>
          <w:rtl/>
        </w:rPr>
        <w:t xml:space="preserve">إيقاف المحركات في الهواء ليس ميزة قياسية في PX4/ArduPilot؛ استخدم المحاكي SITL قبل التجربة.</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2026-10-04T16:03:33.143Z</dcterms:created>
  <dcterms:modified xsi:type="dcterms:W3CDTF">2026-10-04T16:03:33.153Z</dcterms:modified>
</cp:coreProperties>
</file>

<file path=docProps/custom.xml><?xml version="1.0" encoding="utf-8"?>
<Properties xmlns="http://schemas.openxmlformats.org/officeDocument/2006/custom-properties" xmlns:vt="http://schemas.openxmlformats.org/officeDocument/2006/docPropsVTypes"/>
</file>