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Response to the Reviewer</w:t>
      </w:r>
    </w:p>
    <w:p>
      <w:pPr>
        <w:spacing w:after="300"/>
        <w:jc w:val="center"/>
      </w:pPr>
      <w:r>
        <w:rPr>
          <w:i/>
          <w:iCs/>
        </w:rPr>
        <w:t xml:space="preserve">Voiceprint-guided three-dimensional acoustic localization of drones with a six-microphone rigid spherical array: rotor silence windows and reference subtraction</w:t>
      </w:r>
    </w:p>
    <w:p>
      <w:pPr>
        <w:spacing w:after="120" w:line="288"/>
        <w:jc w:val="both"/>
      </w:pPr>
      <w:r>
        <w:t xml:space="preserve">We thank the reviewer for a careful and constructive report. We did not answer the comments by adding caveats only: we extended the simulator, implemented the requested baselines and tests, re-ran every experiment with uncertainty estimates, and re-framed the contributions to match what the new results support. Several headline numbers of the first version became weaker, and two claimed contributions (exactness of the six-pair intensity estimator and the benefit of a vibration reference in benign conditions) were withdrawn. Items that require the physical sensor or datasets that could not be downloaded in our computing environment are marked </w:t>
      </w:r>
      <w:r>
        <w:rPr>
          <w:b/>
          <w:bCs/>
        </w:rPr>
        <w:t xml:space="preserve">pending</w:t>
      </w:r>
      <w:r>
        <w:t xml:space="preserve"> below, with the released tools and the protocol we will follow; the manuscript will not be submitted before these results are included.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4370"/>
        <w:gridCol w:w="2000"/>
      </w:tblGrid>
      <w:tr>
        <w:trPr>
          <w:tblHeader/>
        </w:trPr>
        <w:tc>
          <w:tcPr>
            <w:tcW w:type="dxa" w:w="2700"/>
            <w:tcBorders>
              <w:top w:val="single" w:color="A6A6A6" w:sz="4"/>
              <w:left w:val="single" w:color="A6A6A6" w:sz="4"/>
              <w:bottom w:val="single" w:color="A6A6A6" w:sz="4"/>
              <w:right w:val="single" w:color="A6A6A6" w:sz="4"/>
            </w:tcBorders>
            <w:shd w:fill="E7EAF0" w:color="auto" w:val="clear"/>
          </w:tcPr>
          <w:p>
            <w:r>
              <w:rPr>
                <w:b/>
                <w:bCs/>
                <w:sz w:val="19"/>
                <w:szCs w:val="19"/>
              </w:rPr>
              <w:t xml:space="preserve">Comment</w:t>
            </w:r>
          </w:p>
        </w:tc>
        <w:tc>
          <w:tcPr>
            <w:tcW w:type="dxa" w:w="4370"/>
            <w:tcBorders>
              <w:top w:val="single" w:color="A6A6A6" w:sz="4"/>
              <w:left w:val="single" w:color="A6A6A6" w:sz="4"/>
              <w:bottom w:val="single" w:color="A6A6A6" w:sz="4"/>
              <w:right w:val="single" w:color="A6A6A6" w:sz="4"/>
            </w:tcBorders>
            <w:shd w:fill="E7EAF0" w:color="auto" w:val="clear"/>
          </w:tcPr>
          <w:p>
            <w:r>
              <w:rPr>
                <w:b/>
                <w:bCs/>
                <w:sz w:val="19"/>
                <w:szCs w:val="19"/>
              </w:rPr>
              <w:t xml:space="preserve">Action</w:t>
            </w:r>
          </w:p>
        </w:tc>
        <w:tc>
          <w:tcPr>
            <w:tcW w:type="dxa" w:w="2000"/>
            <w:tcBorders>
              <w:top w:val="single" w:color="A6A6A6" w:sz="4"/>
              <w:left w:val="single" w:color="A6A6A6" w:sz="4"/>
              <w:bottom w:val="single" w:color="A6A6A6" w:sz="4"/>
              <w:right w:val="single" w:color="A6A6A6" w:sz="4"/>
            </w:tcBorders>
            <w:shd w:fill="E7EAF0" w:color="auto" w:val="clear"/>
          </w:tcPr>
          <w:p>
            <w:r>
              <w:rPr>
                <w:b/>
                <w:bCs/>
                <w:sz w:val="19"/>
                <w:szCs w:val="19"/>
              </w:rPr>
              <w:t xml:space="preserve">Status</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1 — simulation idealisations</w:t>
            </w:r>
          </w:p>
        </w:tc>
        <w:tc>
          <w:tcPr>
            <w:tcW w:type="dxa" w:w="4370"/>
            <w:tcBorders>
              <w:top w:val="single" w:color="A6A6A6" w:sz="4"/>
              <w:left w:val="single" w:color="A6A6A6" w:sz="4"/>
              <w:bottom w:val="single" w:color="A6A6A6" w:sz="4"/>
              <w:right w:val="single" w:color="A6A6A6" w:sz="4"/>
            </w:tcBorders>
          </w:tcPr>
          <w:p>
            <w:r>
              <w:rPr>
                <w:sz w:val="19"/>
                <w:szCs w:val="19"/>
              </w:rPr>
              <w:t xml:space="preserve">Rigid-sphere scattering, hardware errors, clock skew; degradation table; wording</w:t>
            </w:r>
          </w:p>
        </w:tc>
        <w:tc>
          <w:tcPr>
            <w:tcW w:type="dxa" w:w="2000"/>
            <w:tcBorders>
              <w:top w:val="single" w:color="A6A6A6" w:sz="4"/>
              <w:left w:val="single" w:color="A6A6A6" w:sz="4"/>
              <w:bottom w:val="single" w:color="A6A6A6" w:sz="4"/>
              <w:right w:val="single" w:color="A6A6A6" w:sz="4"/>
            </w:tcBorders>
          </w:tcPr>
          <w:p>
            <w:r>
              <w:rPr>
                <w:sz w:val="19"/>
                <w:szCs w:val="19"/>
              </w:rPr>
              <w:t xml:space="preserve">Done (model); real-array test pending</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2 — straw-man baseline</w:t>
            </w:r>
          </w:p>
        </w:tc>
        <w:tc>
          <w:tcPr>
            <w:tcW w:type="dxa" w:w="4370"/>
            <w:tcBorders>
              <w:top w:val="single" w:color="A6A6A6" w:sz="4"/>
              <w:left w:val="single" w:color="A6A6A6" w:sz="4"/>
              <w:bottom w:val="single" w:color="A6A6A6" w:sz="4"/>
              <w:right w:val="single" w:color="A6A6A6" w:sz="4"/>
            </w:tcBorders>
          </w:tcPr>
          <w:p>
            <w:r>
              <w:rPr>
                <w:sz w:val="19"/>
                <w:szCs w:val="19"/>
              </w:rPr>
              <w:t xml:space="preserve">Matched filter, RPM notch, reference canceller, ego-noise sweep, closed loop</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3 — fusion undercuts intensity</w:t>
            </w:r>
          </w:p>
        </w:tc>
        <w:tc>
          <w:tcPr>
            <w:tcW w:type="dxa" w:w="4370"/>
            <w:tcBorders>
              <w:top w:val="single" w:color="A6A6A6" w:sz="4"/>
              <w:left w:val="single" w:color="A6A6A6" w:sz="4"/>
              <w:bottom w:val="single" w:color="A6A6A6" w:sz="4"/>
              <w:right w:val="single" w:color="A6A6A6" w:sz="4"/>
            </w:tcBorders>
          </w:tcPr>
          <w:p>
            <w:r>
              <w:rPr>
                <w:sz w:val="19"/>
                <w:szCs w:val="19"/>
              </w:rPr>
              <w:t xml:space="preserve">Inverse-variance fusion, all estimators reported; contribution withdrawn</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4 — "multimodal" not supported</w:t>
            </w:r>
          </w:p>
        </w:tc>
        <w:tc>
          <w:tcPr>
            <w:tcW w:type="dxa" w:w="4370"/>
            <w:tcBorders>
              <w:top w:val="single" w:color="A6A6A6" w:sz="4"/>
              <w:left w:val="single" w:color="A6A6A6" w:sz="4"/>
              <w:bottom w:val="single" w:color="A6A6A6" w:sz="4"/>
              <w:right w:val="single" w:color="A6A6A6" w:sz="4"/>
            </w:tcBorders>
          </w:tcPr>
          <w:p>
            <w:r>
              <w:rPr>
                <w:sz w:val="19"/>
                <w:szCs w:val="19"/>
              </w:rPr>
              <w:t xml:space="preserve">Ablation under 4 stress scenarios, adaptive and re-calibrated policies, leakage test; title changed</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5 — voiceprint leakage</w:t>
            </w:r>
          </w:p>
        </w:tc>
        <w:tc>
          <w:tcPr>
            <w:tcW w:type="dxa" w:w="4370"/>
            <w:tcBorders>
              <w:top w:val="single" w:color="A6A6A6" w:sz="4"/>
              <w:left w:val="single" w:color="A6A6A6" w:sz="4"/>
              <w:bottom w:val="single" w:color="A6A6A6" w:sz="4"/>
              <w:right w:val="single" w:color="A6A6A6" w:sz="4"/>
            </w:tcBorders>
          </w:tcPr>
          <w:p>
            <w:r>
              <w:rPr>
                <w:sz w:val="19"/>
                <w:szCs w:val="19"/>
              </w:rPr>
              <w:t xml:space="preserve">Recording/session/campaign splits, unseen unit, RPM excursions, unit identification</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6 — single run</w:t>
            </w:r>
          </w:p>
        </w:tc>
        <w:tc>
          <w:tcPr>
            <w:tcW w:type="dxa" w:w="4370"/>
            <w:tcBorders>
              <w:top w:val="single" w:color="A6A6A6" w:sz="4"/>
              <w:left w:val="single" w:color="A6A6A6" w:sz="4"/>
              <w:bottom w:val="single" w:color="A6A6A6" w:sz="4"/>
              <w:right w:val="single" w:color="A6A6A6" w:sz="4"/>
            </w:tcBorders>
          </w:tcPr>
          <w:p>
            <w:r>
              <w:rPr>
                <w:sz w:val="19"/>
                <w:szCs w:val="19"/>
              </w:rPr>
              <w:t xml:space="preserve">30-run Monte Carlo with CIs; real-clip limits in abstract</w:t>
            </w:r>
          </w:p>
        </w:tc>
        <w:tc>
          <w:tcPr>
            <w:tcW w:type="dxa" w:w="2000"/>
            <w:tcBorders>
              <w:top w:val="single" w:color="A6A6A6" w:sz="4"/>
              <w:left w:val="single" w:color="A6A6A6" w:sz="4"/>
              <w:bottom w:val="single" w:color="A6A6A6" w:sz="4"/>
              <w:right w:val="single" w:color="A6A6A6" w:sz="4"/>
            </w:tcBorders>
          </w:tcPr>
          <w:p>
            <w:r>
              <w:rPr>
                <w:sz w:val="19"/>
                <w:szCs w:val="19"/>
              </w:rPr>
              <w:t xml:space="preserve">Done (simulation); physical bench test pending</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7 — silence-window feasibility</w:t>
            </w:r>
          </w:p>
        </w:tc>
        <w:tc>
          <w:tcPr>
            <w:tcW w:type="dxa" w:w="4370"/>
            <w:tcBorders>
              <w:top w:val="single" w:color="A6A6A6" w:sz="4"/>
              <w:left w:val="single" w:color="A6A6A6" w:sz="4"/>
              <w:bottom w:val="single" w:color="A6A6A6" w:sz="4"/>
              <w:right w:val="single" w:color="A6A6A6" w:sz="4"/>
            </w:tcBorders>
          </w:tcPr>
          <w:p>
            <w:r>
              <w:rPr>
                <w:sz w:val="19"/>
                <w:szCs w:val="19"/>
              </w:rPr>
              <w:t xml:space="preserve">Spin-down, energy model, beacon SPL, absorption, target ego-noise</w:t>
            </w:r>
          </w:p>
        </w:tc>
        <w:tc>
          <w:tcPr>
            <w:tcW w:type="dxa" w:w="2000"/>
            <w:tcBorders>
              <w:top w:val="single" w:color="A6A6A6" w:sz="4"/>
              <w:left w:val="single" w:color="A6A6A6" w:sz="4"/>
              <w:bottom w:val="single" w:color="A6A6A6" w:sz="4"/>
              <w:right w:val="single" w:color="A6A6A6" w:sz="4"/>
            </w:tcBorders>
          </w:tcPr>
          <w:p>
            <w:r>
              <w:rPr>
                <w:sz w:val="19"/>
                <w:szCs w:val="19"/>
              </w:rPr>
              <w:t xml:space="preserve">Done (model); bench measurement pending</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Major 8 — novelty and prior art</w:t>
            </w:r>
          </w:p>
        </w:tc>
        <w:tc>
          <w:tcPr>
            <w:tcW w:type="dxa" w:w="4370"/>
            <w:tcBorders>
              <w:top w:val="single" w:color="A6A6A6" w:sz="4"/>
              <w:left w:val="single" w:color="A6A6A6" w:sz="4"/>
              <w:bottom w:val="single" w:color="A6A6A6" w:sz="4"/>
              <w:right w:val="single" w:color="A6A6A6" w:sz="4"/>
            </w:tcBorders>
          </w:tcPr>
          <w:p>
            <w:r>
              <w:rPr>
                <w:sz w:val="19"/>
                <w:szCs w:val="19"/>
              </w:rPr>
              <w:t xml:space="preserve">Section 2 rewritten with 13 new references; element-wise novelty</w:t>
            </w:r>
          </w:p>
        </w:tc>
        <w:tc>
          <w:tcPr>
            <w:tcW w:type="dxa" w:w="2000"/>
            <w:tcBorders>
              <w:top w:val="single" w:color="A6A6A6" w:sz="4"/>
              <w:left w:val="single" w:color="A6A6A6" w:sz="4"/>
              <w:bottom w:val="single" w:color="A6A6A6" w:sz="4"/>
              <w:right w:val="single" w:color="A6A6A6" w:sz="4"/>
            </w:tcBorders>
          </w:tcPr>
          <w:p>
            <w:r>
              <w:rPr>
                <w:sz w:val="19"/>
                <w:szCs w:val="19"/>
              </w:rPr>
              <w:t xml:space="preserve">Done</w:t>
            </w:r>
          </w:p>
        </w:tc>
      </w:tr>
      <w:tr>
        <w:tc>
          <w:tcPr>
            <w:tcW w:type="dxa" w:w="2700"/>
            <w:tcBorders>
              <w:top w:val="single" w:color="A6A6A6" w:sz="4"/>
              <w:left w:val="single" w:color="A6A6A6" w:sz="4"/>
              <w:bottom w:val="single" w:color="A6A6A6" w:sz="4"/>
              <w:right w:val="single" w:color="A6A6A6" w:sz="4"/>
            </w:tcBorders>
          </w:tcPr>
          <w:p>
            <w:r>
              <w:rPr>
                <w:sz w:val="19"/>
                <w:szCs w:val="19"/>
              </w:rPr>
              <w:t xml:space="preserve">Minor 1–18</w:t>
            </w:r>
          </w:p>
        </w:tc>
        <w:tc>
          <w:tcPr>
            <w:tcW w:type="dxa" w:w="4370"/>
            <w:tcBorders>
              <w:top w:val="single" w:color="A6A6A6" w:sz="4"/>
              <w:left w:val="single" w:color="A6A6A6" w:sz="4"/>
              <w:bottom w:val="single" w:color="A6A6A6" w:sz="4"/>
              <w:right w:val="single" w:color="A6A6A6" w:sz="4"/>
            </w:tcBorders>
          </w:tcPr>
          <w:p>
            <w:r>
              <w:rPr>
                <w:sz w:val="19"/>
                <w:szCs w:val="19"/>
              </w:rPr>
              <w:t xml:space="preserve">See Section 3 of this letter</w:t>
            </w:r>
          </w:p>
        </w:tc>
        <w:tc>
          <w:tcPr>
            <w:tcW w:type="dxa" w:w="2000"/>
            <w:tcBorders>
              <w:top w:val="single" w:color="A6A6A6" w:sz="4"/>
              <w:left w:val="single" w:color="A6A6A6" w:sz="4"/>
              <w:bottom w:val="single" w:color="A6A6A6" w:sz="4"/>
              <w:right w:val="single" w:color="A6A6A6" w:sz="4"/>
            </w:tcBorders>
          </w:tcPr>
          <w:p>
            <w:r>
              <w:rPr>
                <w:sz w:val="19"/>
                <w:szCs w:val="19"/>
              </w:rPr>
              <w:t xml:space="preserve">Done (Vitae text from the author pending)</w:t>
            </w:r>
          </w:p>
        </w:tc>
      </w:tr>
    </w:tbl>
    <w:p>
      <w:pPr>
        <w:pStyle w:val="Heading1"/>
      </w:pPr>
      <w:r>
        <w:t xml:space="preserve">1. Major comments</w:t>
      </w:r>
    </w:p>
    <w:p>
      <w:pPr>
        <w:pStyle w:val="Heading2"/>
      </w:pPr>
      <w:r>
        <w:t xml:space="preserve">Major 1. Simulation-only evidence and idealisations</w:t>
      </w:r>
    </w:p>
    <w:p>
      <w:pPr>
        <w:pBdr>
          <w:left w:val="single" w:color="A6A6A6" w:sz="12" w:space="8"/>
        </w:pBdr>
        <w:spacing w:after="100" w:line="276"/>
        <w:ind w:left="400"/>
      </w:pPr>
      <w:r>
        <w:rPr>
          <w:i/>
          <w:iCs/>
          <w:color w:val="404040"/>
        </w:rPr>
        <w:t xml:space="preserve">Free-field propagation, ideal cardioids and a single 0.5 dB mismatch produce the headline numbers; Eq. (5) ignores diffraction around the sphere; evaluate on DREGON/SP Cup; move the qualification to the abstract.</w:t>
      </w:r>
    </w:p>
    <w:p>
      <w:pPr>
        <w:spacing w:after="120" w:line="288"/>
        <w:jc w:val="both"/>
      </w:pPr>
      <w:r>
        <w:rPr>
          <w:b/>
          <w:bCs/>
        </w:rPr>
        <w:t xml:space="preserve">(a) Sensor model.</w:t>
      </w:r>
      <w:r>
        <w:t xml:space="preserve"> We implemented the rigid-sphere (Rayleigh) series (new Eq. (2), Figs. 1b and 4). The reviewer's estimate is confirmed: the opposite-pair delay is 0.60–0.70 ms instead of 0.47 ms. We added microphone position, gain and timing errors and sampling-clock skew (Eq. (3)). Table 3 reports the degradation: free-field steering on a rigid sphere raised the 90th-percentile error from 2.42° to 3.41°; sphere steering recovered most of it; 1 mm / 0.5 dB / 5 µs errors gave 1.13° and 2 mm / 1 dB / 20 µs gave 2.19° (the reviewer's 0.36° per mm is of the right order); a 20 ppm clock skew between independent devices made reference subtraction and localization fail (87.7°). This became a hardware requirement (one sampling clock for all channels). The zero-error statement of the former Table 7 is now described as a property of the ideal model only; on the rigid sphere the six-pair estimator has a ~3° error.</w:t>
      </w:r>
    </w:p>
    <w:p>
      <w:pPr>
        <w:spacing w:after="120" w:line="288"/>
        <w:jc w:val="both"/>
      </w:pPr>
      <w:r>
        <w:rPr>
          <w:b/>
          <w:bCs/>
        </w:rPr>
        <w:t xml:space="preserve">(b) Real array data.</w:t>
      </w:r>
      <w:r>
        <w:t xml:space="preserve"> We wrote a loader and evaluation command for any multichannel recording with geometry and ground-truth files (python -m droneloc evaluate-array) and verified it end to end on simulated recordings. The DREGON and SP Cup 2019 servers were not reachable from our computing environment; the evaluation will be run locally and its results inserted in Section 8 (Table 10) before submission. In parallel the 160 mm sensor is being built (common-clock PDM array) for a loudspeaker bench test.</w:t>
      </w:r>
    </w:p>
    <w:p>
      <w:pPr>
        <w:spacing w:after="120" w:line="288"/>
        <w:jc w:val="both"/>
      </w:pPr>
      <w:r>
        <w:rPr>
          <w:b/>
          <w:bCs/>
        </w:rPr>
        <w:t xml:space="preserve">(c) Wording.</w:t>
      </w:r>
      <w:r>
        <w:t xml:space="preserve"> The abstract and Section 7 now state that all array signals are simulated, that real clips are single-channel recordings propagated synthetically, and that hardware validation is in progress.</w:t>
      </w:r>
    </w:p>
    <w:p>
      <w:pPr>
        <w:spacing w:after="200"/>
      </w:pPr>
      <w:r>
        <w:rPr>
          <w:b/>
          <w:bCs/>
        </w:rPr>
        <w:t xml:space="preserve">Status: </w:t>
      </w:r>
      <w:r>
        <w:rPr>
          <w:b/>
          <w:bCs/>
          <w:color w:val="2E7D32"/>
        </w:rPr>
        <w:t xml:space="preserve">Done (model, wording); real-array evaluation pending</w:t>
      </w:r>
    </w:p>
    <w:p>
      <w:pPr>
        <w:pStyle w:val="Heading2"/>
      </w:pPr>
      <w:r>
        <w:t xml:space="preserve">Major 2. Active-mode baseline</w:t>
      </w:r>
    </w:p>
    <w:p>
      <w:pPr>
        <w:pBdr>
          <w:left w:val="single" w:color="A6A6A6" w:sz="12" w:space="8"/>
        </w:pBdr>
        <w:spacing w:after="100" w:line="276"/>
        <w:ind w:left="400"/>
      </w:pPr>
      <w:r>
        <w:rPr>
          <w:i/>
          <w:iCs/>
          <w:color w:val="404040"/>
        </w:rPr>
        <w:t xml:space="preserve">The 0/30 result reflects a naive band-energy detector; add matched filtering, RPM-informed notching/reference cancellation and beamforming baselines; sweep ego-noise; validate the ego-noise model.</w:t>
      </w:r>
    </w:p>
    <w:p>
      <w:pPr>
        <w:spacing w:after="120" w:line="288"/>
        <w:jc w:val="both"/>
      </w:pPr>
      <w:r>
        <w:t xml:space="preserve">We re-implemented the active mode (Section 4): stated beacon level (100 dB SPL at 1 m), ISO 9613-1 absorption, the monitoring drone's own rotor noise, a distributed rotor-noise model (tonal part at the hub, broadband turbulence from six independent points per rotor) and a coherent variant as an optimistic bound. Baselines: matched-filter detection with a P~FA~ = 1% threshold, a notch at every shaft-rate multiple using per-rotor RPM telemetry, a least-squares canceller with one reference microphone per rotor, and SRP-PHAT beamforming with free-field and sphere steering. Findings (Table 4, Fig. 8, Table 5): the band-energy detector fires regardless of the beacon with motors running, which explains the original 0/30; the matched filter detects reliably (P~D~ = 40/40 at 80 m), and the failure is in direction finding at long range. Notching did not help because four rotors' harmonic combs and broadband turbulence fill the 3–6 kHz band (and it removed about 60% of the beacon energy). In closed loop, the revised silence-window chain reached 25/30 [0.66, 0.93], motors running with matched filter 0/30, with notch 0/30 and with the reference canceller 8/30; with the coherent rotor model the reference canceller reached 29/30. Hence the necessity of silence windows is now stated conditionally on the coherence between rotor reference microphones and the array, which bounds any linear canceller (−10 log~10~(1 − γ²) dB). We released a coherence tool (python -m droneloc coherence) and its measurement on the drone is the first hardware test.</w:t>
      </w:r>
    </w:p>
    <w:p>
      <w:pPr>
        <w:spacing w:after="200"/>
      </w:pPr>
      <w:r>
        <w:rPr>
          <w:b/>
          <w:bCs/>
        </w:rPr>
        <w:t xml:space="preserve">Status: </w:t>
      </w:r>
      <w:r>
        <w:rPr>
          <w:b/>
          <w:bCs/>
          <w:color w:val="2E7D32"/>
        </w:rPr>
        <w:t xml:space="preserve">Done (baselines, sweep, closed loop); measured ego-noise coherence pending</w:t>
      </w:r>
    </w:p>
    <w:p>
      <w:pPr>
        <w:pStyle w:val="Heading2"/>
      </w:pPr>
      <w:r>
        <w:t xml:space="preserve">Major 3. Fusion and the six-pair intensity estimator</w:t>
      </w:r>
    </w:p>
    <w:p>
      <w:pPr>
        <w:pBdr>
          <w:left w:val="single" w:color="A6A6A6" w:sz="12" w:space="8"/>
        </w:pBdr>
        <w:spacing w:after="100" w:line="276"/>
        <w:ind w:left="400"/>
      </w:pPr>
      <w:r>
        <w:rPr>
          <w:i/>
          <w:iCs/>
          <w:color w:val="404040"/>
        </w:rPr>
        <w:t xml:space="preserve">Fixed 0.4/0.6 fusion is 10–24× worse than GCC-PHAT alone; implement adaptive fusion and identify a regime where intensity helps, or reposition the contribution.</w:t>
      </w:r>
    </w:p>
    <w:p>
      <w:pPr>
        <w:spacing w:after="120" w:line="288"/>
        <w:jc w:val="both"/>
      </w:pPr>
      <w:r>
        <w:t xml:space="preserve">We implemented inverse-variance fusion with error models calibrated against the matched-filter SNR (Eq. (9)) and report intensity-only, three-loudest, GCC-only, fixed and adaptive fusion, free-field and sphere SRP, and an intensity-gated SRP (Table 4). Adaptive fusion improved on the fixed weights but not on GCC-PHAT alone; sphere-steered SRP was best (0.29° at 80 m during silence windows). Using intensity to gate the SRP search was harmful at low SNR, because a wrong intensity estimate excluded the true direction. We therefore withdrew the intensity estimator as a contribution and removed the 0.4/0.6 weights from the proposed chain. One positive finding is kept: on the rigid sphere even omnidirectional microphones yield a usable intensity cue (≈4°, versus failure in free field), so cheap omni MEMS capsules suffice.</w:t>
      </w:r>
    </w:p>
    <w:p>
      <w:pPr>
        <w:spacing w:after="200"/>
      </w:pPr>
      <w:r>
        <w:rPr>
          <w:b/>
          <w:bCs/>
        </w:rPr>
        <w:t xml:space="preserve">Status: </w:t>
      </w:r>
      <w:r>
        <w:rPr>
          <w:b/>
          <w:bCs/>
          <w:color w:val="2E7D32"/>
        </w:rPr>
        <w:t xml:space="preserve">Done</w:t>
      </w:r>
    </w:p>
    <w:p>
      <w:pPr>
        <w:pStyle w:val="Heading2"/>
      </w:pPr>
      <w:r>
        <w:t xml:space="preserve">Major 4. "Multimodal" reference subtraction</w:t>
      </w:r>
    </w:p>
    <w:p>
      <w:pPr>
        <w:pBdr>
          <w:left w:val="single" w:color="A6A6A6" w:sz="12" w:space="8"/>
        </w:pBdr>
        <w:spacing w:after="100" w:line="276"/>
        <w:ind w:left="400"/>
      </w:pPr>
      <w:r>
        <w:rPr>
          <w:i/>
          <w:iCs/>
          <w:color w:val="404040"/>
        </w:rPr>
        <w:t xml:space="preserve">The vibration reference adds nothing; the 26.8 dB is a best case; test non-stationary machinery, calibration drift and target leakage; compare with PK-MWF-type work.</w:t>
      </w:r>
    </w:p>
    <w:p>
      <w:pPr>
        <w:spacing w:after="120" w:line="288"/>
        <w:jc w:val="both"/>
      </w:pPr>
      <w:r>
        <w:t xml:space="preserve">Table 7 now reports an ablation (acoustic, vibration, both) × policy (fixed, gated adaptive NLMS, re-calibrated) under four scenarios, with direction success, interference reduction and the target-to-distortion ratio (TDR) with the drone 3 m away, measured by re-applying the filter to the drone component alone. Results: wind on the reference microphone did not hurt (wind lies below the drone comb). A 3 dB drift of the acoustic reference reduced the fixed filter to 9/30 positions within 5°; the vibration reference was immune to it (17/30 alone), and re-calibration on a drone-free window restored 30/30. The adaptive filter tracked drift (30/30) but cancelled part of the drone through reference leakage (TDR 8 dB versus 19 dB), so the recommended policy is a fixed filter during approaches and re-calibration between them. Moving machinery (±0.15 m) defeated all policies (≤ 8/30); this is reported as a limitation. We dropped "multimodal" from the title, cite the PK-MWF work [17] and the RPM-reference patent [36], and claim only the analysis.</w:t>
      </w:r>
    </w:p>
    <w:p>
      <w:pPr>
        <w:spacing w:after="200"/>
      </w:pPr>
      <w:r>
        <w:rPr>
          <w:b/>
          <w:bCs/>
        </w:rPr>
        <w:t xml:space="preserve">Status: </w:t>
      </w:r>
      <w:r>
        <w:rPr>
          <w:b/>
          <w:bCs/>
          <w:color w:val="2E7D32"/>
        </w:rPr>
        <w:t xml:space="preserve">Done</w:t>
      </w:r>
    </w:p>
    <w:p>
      <w:pPr>
        <w:pStyle w:val="Heading2"/>
      </w:pPr>
      <w:r>
        <w:t xml:space="preserve">Major 5. Voiceprint evaluation</w:t>
      </w:r>
    </w:p>
    <w:p>
      <w:pPr>
        <w:pBdr>
          <w:left w:val="single" w:color="A6A6A6" w:sz="12" w:space="8"/>
        </w:pBdr>
        <w:spacing w:after="100" w:line="276"/>
        <w:ind w:left="400"/>
      </w:pPr>
      <w:r>
        <w:rPr>
          <w:i/>
          <w:iCs/>
          <w:color w:val="404040"/>
        </w:rPr>
        <w:t xml:space="preserve">Possible leakage; circular synthetic design; grouped splits; unseen units; RPM beyond ±12%; identity versus type; clarify Table 13.</w:t>
      </w:r>
    </w:p>
    <w:p>
      <w:pPr>
        <w:spacing w:after="120" w:line="288"/>
        <w:jc w:val="both"/>
      </w:pPr>
      <w:r>
        <w:t xml:space="preserve">Synthetic data are now generated as recordings and split by recording; five physical units per model are simulated; real clips are grouped by session and by campaign (Table 8). Accuracy fell from 98% (random segments) to 94% (by recording) and 91% (unseen unit); on real clips from 96% to 92% (session) and 72% (campaign), confirming the leakage documented by Shulman [25], whom we now cite. Training on ±12% RPM collapsed at ±30% (23%); training on ±30% kept 79% and is adopted. Unit identification reached 63% (chance 20%), so "voiceprint" now denotes a drone-type signature. We also found and fixed a decision-rule weakness: a 0.5 threshold on the target probability rejected correct decisions when probability is spread over eight classes; the maximum a-posteriori rule is now used. The identical values of the former Table 13 came from two runs that trained the same classifier on identical data (same seed and classes), and the 0.8° values reflected the coarse SRP grid; the local refinement removes this floor (Table 3, A vs. B). The former Table 13 is replaced by Tables 8 and 9.</w:t>
      </w:r>
    </w:p>
    <w:p>
      <w:pPr>
        <w:spacing w:after="200"/>
      </w:pPr>
      <w:r>
        <w:rPr>
          <w:b/>
          <w:bCs/>
        </w:rPr>
        <w:t xml:space="preserve">Status: </w:t>
      </w:r>
      <w:r>
        <w:rPr>
          <w:b/>
          <w:bCs/>
          <w:color w:val="2E7D32"/>
        </w:rPr>
        <w:t xml:space="preserve">Done</w:t>
      </w:r>
    </w:p>
    <w:p>
      <w:pPr>
        <w:pStyle w:val="Heading2"/>
      </w:pPr>
      <w:r>
        <w:t xml:space="preserve">Major 6. Single trajectory and real-clip results</w:t>
      </w:r>
    </w:p>
    <w:p>
      <w:pPr>
        <w:pBdr>
          <w:left w:val="single" w:color="A6A6A6" w:sz="12" w:space="8"/>
        </w:pBdr>
        <w:spacing w:after="100" w:line="276"/>
        <w:ind w:left="400"/>
      </w:pPr>
      <w:r>
        <w:rPr>
          <w:i/>
          <w:iCs/>
          <w:color w:val="404040"/>
        </w:rPr>
        <w:t xml:space="preserve">Monte Carlo over seeds, trajectories, interferers and SNR with CIs; report real-clip failures in the abstract; add a physical bench test.</w:t>
      </w:r>
    </w:p>
    <w:p>
      <w:pPr>
        <w:spacing w:after="120" w:line="288"/>
        <w:jc w:val="both"/>
      </w:pPr>
      <w:r>
        <w:t xml:space="preserve">Table 9 summarizes 30 randomized approaches (trajectory, machinery level 68–80 dB, wind 35–50 dB, hardware errors), with medians and bootstrap intervals: direction error 1.13° [0.88, 1.35], 90th percentile 1.77°, range error 20%, track error 4.05 m. The abstract now reports the leakage-free signature accuracy on real clips and states that the real clips are single-channel. The physical bench test is part of the validation plan (Table 10).</w:t>
      </w:r>
    </w:p>
    <w:p>
      <w:pPr>
        <w:spacing w:after="200"/>
      </w:pPr>
      <w:r>
        <w:rPr>
          <w:b/>
          <w:bCs/>
        </w:rPr>
        <w:t xml:space="preserve">Status: </w:t>
      </w:r>
      <w:r>
        <w:rPr>
          <w:b/>
          <w:bCs/>
          <w:color w:val="2E7D32"/>
        </w:rPr>
        <w:t xml:space="preserve">Done (simulation); bench test pending</w:t>
      </w:r>
    </w:p>
    <w:p>
      <w:pPr>
        <w:pStyle w:val="Heading2"/>
      </w:pPr>
      <w:r>
        <w:t xml:space="preserve">Major 7. Feasibility of silence windows and the cooperative beacon</w:t>
      </w:r>
    </w:p>
    <w:p>
      <w:pPr>
        <w:pBdr>
          <w:left w:val="single" w:color="A6A6A6" w:sz="12" w:space="8"/>
        </w:pBdr>
        <w:spacing w:after="100" w:line="276"/>
        <w:ind w:left="400"/>
      </w:pPr>
      <w:r>
        <w:rPr>
          <w:i/>
          <w:iCs/>
          <w:color w:val="404040"/>
        </w:rPr>
        <w:t xml:space="preserve">Spin-down/spin-up, loss of control, energy cost, beacon SPL, absorption, target ego-noise, cooperative assumption.</w:t>
      </w:r>
    </w:p>
    <w:p>
      <w:pPr>
        <w:spacing w:after="120" w:line="288"/>
        <w:jc w:val="both"/>
      </w:pPr>
      <w:r>
        <w:t xml:space="preserve">Section 4.1 adds a rotor spin-down model with active braking (stop in 79 ms for the stated inertia and braking torque), the residual rotor noise inside the window (∝ ω^2.5), and an energy model: 35 J per 2 s cycle, 7.0% of hover energy, dominated by rotor spin-up (Table 6). The beacon level (100 dB SPL at 1 m), ISO 9613-1 absorption and the target's own rotor noise are included. "Safe" was removed; recovery dynamics and attitude excursion will be measured on a thrust stand and tethered flight (Table 10). The cooperative-beacon assumption is now stated explicitly in Sections 1 and 4.</w:t>
      </w:r>
    </w:p>
    <w:p>
      <w:pPr>
        <w:spacing w:after="200"/>
      </w:pPr>
      <w:r>
        <w:rPr>
          <w:b/>
          <w:bCs/>
        </w:rPr>
        <w:t xml:space="preserve">Status: </w:t>
      </w:r>
      <w:r>
        <w:rPr>
          <w:b/>
          <w:bCs/>
          <w:color w:val="2E7D32"/>
        </w:rPr>
        <w:t xml:space="preserve">Done (model); bench measurement pending</w:t>
      </w:r>
    </w:p>
    <w:p>
      <w:pPr>
        <w:pStyle w:val="Heading2"/>
      </w:pPr>
      <w:r>
        <w:t xml:space="preserve">Major 8. Novelty and prior art</w:t>
      </w:r>
    </w:p>
    <w:p>
      <w:pPr>
        <w:pBdr>
          <w:left w:val="single" w:color="A6A6A6" w:sz="12" w:space="8"/>
        </w:pBdr>
        <w:spacing w:after="100" w:line="276"/>
        <w:ind w:left="400"/>
      </w:pPr>
      <w:r>
        <w:rPr>
          <w:i/>
          <w:iCs/>
          <w:color w:val="404040"/>
        </w:rPr>
        <w:t xml:space="preserve">Mostly standard components; cite closest real-data work; state novelty element by element.</w:t>
      </w:r>
    </w:p>
    <w:p>
      <w:pPr>
        <w:spacing w:after="120" w:line="288"/>
        <w:jc w:val="both"/>
      </w:pPr>
      <w:r>
        <w:t xml:space="preserve">Section 2 is rewritten around the closest work, with 13 added references (Salvati et al., Wang and Cavallaro 2017/2018, Manamperi et al., Hoshiba et al., Tengan et al., Wu et al., Chevtchenko et al., Shulman, Chatterjee et al., two patents, Duda and Martens, ISO 9613-1). The four-way "no previous work combines" sentence is replaced by element-wise statements: periodic in-flight silence windows (not found; motor-off sensing exists only after landing [37]), sphere-steered harmonic-comb SRP with calibrated level range, the reference-subtraction policy analysis, and hardware requirements with open validation tools. A comparison on a shared real dataset will follow the DREGON evaluation.</w:t>
      </w:r>
    </w:p>
    <w:p>
      <w:pPr>
        <w:spacing w:after="200"/>
      </w:pPr>
      <w:r>
        <w:rPr>
          <w:b/>
          <w:bCs/>
        </w:rPr>
        <w:t xml:space="preserve">Status: </w:t>
      </w:r>
      <w:r>
        <w:rPr>
          <w:b/>
          <w:bCs/>
          <w:color w:val="2E7D32"/>
        </w:rPr>
        <w:t xml:space="preserve">Done (literature, framing); shared-dataset comparison pending</w:t>
      </w:r>
    </w:p>
    <w:p>
      <w:pPr>
        <w:pStyle w:val="Heading1"/>
      </w:pPr>
      <w:r>
        <w:t xml:space="preserve">2. Journal</w:t>
      </w:r>
    </w:p>
    <w:p>
      <w:pPr>
        <w:spacing w:after="120" w:line="288"/>
        <w:jc w:val="both"/>
      </w:pPr>
      <w:r>
        <w:t xml:space="preserve">The guide for authors of </w:t>
      </w:r>
      <w:r>
        <w:rPr>
          <w:i/>
          <w:iCs/>
        </w:rPr>
        <w:t xml:space="preserve">Digital Signal Processing</w:t>
      </w:r>
      <w:r>
        <w:t xml:space="preserve"> states that an article publishing charge applies from 15 September 2026 and that the journal becomes fully open access on 1 January 2027. As the author cannot pay a publication fee, the revised manuscript will be submitted to Applied Acoustics (Elsevier) under its subscription model, which carries no publication charge; the manuscript follows that journal's guide for authors.</w:t>
      </w:r>
    </w:p>
    <w:p>
      <w:pPr>
        <w:pStyle w:val="Heading1"/>
      </w:pPr>
      <w:r>
        <w:t xml:space="preserve">3. Minor comments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300"/>
        <w:gridCol w:w="5770"/>
      </w:tblGrid>
      <w:tr>
        <w:trPr>
          <w:tblHeader/>
        </w:trPr>
        <w:tc>
          <w:tcPr>
            <w:tcW w:type="dxa" w:w="3300"/>
            <w:tcBorders>
              <w:top w:val="single" w:color="A6A6A6" w:sz="4"/>
              <w:left w:val="single" w:color="A6A6A6" w:sz="4"/>
              <w:bottom w:val="single" w:color="A6A6A6" w:sz="4"/>
              <w:right w:val="single" w:color="A6A6A6" w:sz="4"/>
            </w:tcBorders>
            <w:shd w:fill="E7EAF0" w:color="auto" w:val="clear"/>
          </w:tcPr>
          <w:p>
            <w:r>
              <w:rPr>
                <w:b/>
                <w:bCs/>
                <w:sz w:val="19"/>
                <w:szCs w:val="19"/>
              </w:rPr>
              <w:t xml:space="preserve">Comment</w:t>
            </w:r>
          </w:p>
        </w:tc>
        <w:tc>
          <w:tcPr>
            <w:tcW w:type="dxa" w:w="5770"/>
            <w:tcBorders>
              <w:top w:val="single" w:color="A6A6A6" w:sz="4"/>
              <w:left w:val="single" w:color="A6A6A6" w:sz="4"/>
              <w:bottom w:val="single" w:color="A6A6A6" w:sz="4"/>
              <w:right w:val="single" w:color="A6A6A6" w:sz="4"/>
            </w:tcBorders>
            <w:shd w:fill="E7EAF0" w:color="auto" w:val="clear"/>
          </w:tcPr>
          <w:p>
            <w:r>
              <w:rPr>
                <w:b/>
                <w:bCs/>
                <w:sz w:val="19"/>
                <w:szCs w:val="19"/>
              </w:rPr>
              <w:t xml:space="preserve">Response</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 Abstract: simulation, real-clip outcome, single-run median</w:t>
            </w:r>
          </w:p>
        </w:tc>
        <w:tc>
          <w:tcPr>
            <w:tcW w:type="dxa" w:w="5770"/>
            <w:tcBorders>
              <w:top w:val="single" w:color="A6A6A6" w:sz="4"/>
              <w:left w:val="single" w:color="A6A6A6" w:sz="4"/>
              <w:bottom w:val="single" w:color="A6A6A6" w:sz="4"/>
              <w:right w:val="single" w:color="A6A6A6" w:sz="4"/>
            </w:tcBorders>
          </w:tcPr>
          <w:p>
            <w:r>
              <w:rPr>
                <w:sz w:val="19"/>
                <w:szCs w:val="19"/>
              </w:rPr>
              <w:t xml:space="preserve">Rewritten: simulation and single-channel clips stated; leakage-free real-clip accuracy and Monte Carlo median reported.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2. Section 2.5 four-way claim</w:t>
            </w:r>
          </w:p>
        </w:tc>
        <w:tc>
          <w:tcPr>
            <w:tcW w:type="dxa" w:w="5770"/>
            <w:tcBorders>
              <w:top w:val="single" w:color="A6A6A6" w:sz="4"/>
              <w:left w:val="single" w:color="A6A6A6" w:sz="4"/>
              <w:bottom w:val="single" w:color="A6A6A6" w:sz="4"/>
              <w:right w:val="single" w:color="A6A6A6" w:sz="4"/>
            </w:tcBorders>
          </w:tcPr>
          <w:p>
            <w:r>
              <w:rPr>
                <w:sz w:val="19"/>
                <w:szCs w:val="19"/>
              </w:rPr>
              <w:t xml:space="preserve">Replaced by element-wise novelty statements (Section 2).</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3. Fusion weights, σ_r, σ_θ</w:t>
            </w:r>
          </w:p>
        </w:tc>
        <w:tc>
          <w:tcPr>
            <w:tcW w:type="dxa" w:w="5770"/>
            <w:tcBorders>
              <w:top w:val="single" w:color="A6A6A6" w:sz="4"/>
              <w:left w:val="single" w:color="A6A6A6" w:sz="4"/>
              <w:bottom w:val="single" w:color="A6A6A6" w:sz="4"/>
              <w:right w:val="single" w:color="A6A6A6" w:sz="4"/>
            </w:tcBorders>
          </w:tcPr>
          <w:p>
            <w:r>
              <w:rPr>
                <w:sz w:val="19"/>
                <w:szCs w:val="19"/>
              </w:rPr>
              <w:t xml:space="preserve">Fixed weights removed; inverse-variance weights calibrated against SNR; Kalman deviations set from measured errors of each mode (Section 5.4).</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4. Absorption and ground effect</w:t>
            </w:r>
          </w:p>
        </w:tc>
        <w:tc>
          <w:tcPr>
            <w:tcW w:type="dxa" w:w="5770"/>
            <w:tcBorders>
              <w:top w:val="single" w:color="A6A6A6" w:sz="4"/>
              <w:left w:val="single" w:color="A6A6A6" w:sz="4"/>
              <w:bottom w:val="single" w:color="A6A6A6" w:sz="4"/>
              <w:right w:val="single" w:color="A6A6A6" w:sz="4"/>
            </w:tcBorders>
          </w:tcPr>
          <w:p>
            <w:r>
              <w:rPr>
                <w:sz w:val="19"/>
                <w:szCs w:val="19"/>
              </w:rPr>
              <w:t xml:space="preserve">ISO 9613-1 absorption included in the active simulation and range inversion; ground reflection (0.5) in the passive scenes; elevation ≥ −30° excludes the image.</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5. Table 7 noise definition</w:t>
            </w:r>
          </w:p>
        </w:tc>
        <w:tc>
          <w:tcPr>
            <w:tcW w:type="dxa" w:w="5770"/>
            <w:tcBorders>
              <w:top w:val="single" w:color="A6A6A6" w:sz="4"/>
              <w:left w:val="single" w:color="A6A6A6" w:sz="4"/>
              <w:bottom w:val="single" w:color="A6A6A6" w:sz="4"/>
              <w:right w:val="single" w:color="A6A6A6" w:sz="4"/>
            </w:tcBorders>
          </w:tcPr>
          <w:p>
            <w:r>
              <w:rPr>
                <w:sz w:val="19"/>
                <w:szCs w:val="19"/>
              </w:rPr>
              <w:t xml:space="preserve">Former Table 7 removed; noise is now specified as ego-noise level re nominal and SNR.</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6. False arrival, minimum altitude</w:t>
            </w:r>
          </w:p>
        </w:tc>
        <w:tc>
          <w:tcPr>
            <w:tcW w:type="dxa" w:w="5770"/>
            <w:tcBorders>
              <w:top w:val="single" w:color="A6A6A6" w:sz="4"/>
              <w:left w:val="single" w:color="A6A6A6" w:sz="4"/>
              <w:bottom w:val="single" w:color="A6A6A6" w:sz="4"/>
              <w:right w:val="single" w:color="A6A6A6" w:sz="4"/>
            </w:tcBorders>
          </w:tcPr>
          <w:p>
            <w:r>
              <w:rPr>
                <w:sz w:val="19"/>
                <w:szCs w:val="19"/>
              </w:rPr>
              <w:t xml:space="preserve">Definitions in Section 6; altitude is compensated by the pre-climb and given by the net height change (Table 6).</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7. 15 trials per α</w:t>
            </w:r>
          </w:p>
        </w:tc>
        <w:tc>
          <w:tcPr>
            <w:tcW w:type="dxa" w:w="5770"/>
            <w:tcBorders>
              <w:top w:val="single" w:color="A6A6A6" w:sz="4"/>
              <w:left w:val="single" w:color="A6A6A6" w:sz="4"/>
              <w:bottom w:val="single" w:color="A6A6A6" w:sz="4"/>
              <w:right w:val="single" w:color="A6A6A6" w:sz="4"/>
            </w:tcBorders>
          </w:tcPr>
          <w:p>
            <w:r>
              <w:rPr>
                <w:sz w:val="19"/>
                <w:szCs w:val="19"/>
              </w:rPr>
              <w:t xml:space="preserve">Directivity analysed in the window study (40 windows per cell); all proportions carry Wilson intervals.</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8. Table 13 identical values</w:t>
            </w:r>
          </w:p>
        </w:tc>
        <w:tc>
          <w:tcPr>
            <w:tcW w:type="dxa" w:w="5770"/>
            <w:tcBorders>
              <w:top w:val="single" w:color="A6A6A6" w:sz="4"/>
              <w:left w:val="single" w:color="A6A6A6" w:sz="4"/>
              <w:bottom w:val="single" w:color="A6A6A6" w:sz="4"/>
              <w:right w:val="single" w:color="A6A6A6" w:sz="4"/>
            </w:tcBorders>
          </w:tcPr>
          <w:p>
            <w:r>
              <w:rPr>
                <w:sz w:val="19"/>
                <w:szCs w:val="19"/>
              </w:rPr>
              <w:t xml:space="preserve">Explained in Major 5; table replaced.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9. SPL sources</w:t>
            </w:r>
          </w:p>
        </w:tc>
        <w:tc>
          <w:tcPr>
            <w:tcW w:type="dxa" w:w="5770"/>
            <w:tcBorders>
              <w:top w:val="single" w:color="A6A6A6" w:sz="4"/>
              <w:left w:val="single" w:color="A6A6A6" w:sz="4"/>
              <w:bottom w:val="single" w:color="A6A6A6" w:sz="4"/>
              <w:right w:val="single" w:color="A6A6A6" w:sz="4"/>
            </w:tcBorders>
          </w:tcPr>
          <w:p>
            <w:r>
              <w:rPr>
                <w:sz w:val="19"/>
                <w:szCs w:val="19"/>
              </w:rPr>
              <w:t xml:space="preserve">Table 2 labels nominal SPLs as design assumptions; range uses L~1m~ measured with the sensor; 1 dB error ⇒ 12% range bias stated.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10. Eq. (11) details</w:t>
            </w:r>
          </w:p>
        </w:tc>
        <w:tc>
          <w:tcPr>
            <w:tcW w:type="dxa" w:w="5770"/>
            <w:tcBorders>
              <w:top w:val="single" w:color="A6A6A6" w:sz="4"/>
              <w:left w:val="single" w:color="A6A6A6" w:sz="4"/>
              <w:bottom w:val="single" w:color="A6A6A6" w:sz="4"/>
              <w:right w:val="single" w:color="A6A6A6" w:sz="4"/>
            </w:tcBorders>
          </w:tcPr>
          <w:p>
            <w:r>
              <w:rPr>
                <w:sz w:val="19"/>
                <w:szCs w:val="19"/>
              </w:rPr>
              <w:t xml:space="preserve">Dimensions, STFT size, hop and loading given (Section 5.1).</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11. SRP ground reflection and aperture</w:t>
            </w:r>
          </w:p>
        </w:tc>
        <w:tc>
          <w:tcPr>
            <w:tcW w:type="dxa" w:w="5770"/>
            <w:tcBorders>
              <w:top w:val="single" w:color="A6A6A6" w:sz="4"/>
              <w:left w:val="single" w:color="A6A6A6" w:sz="4"/>
              <w:bottom w:val="single" w:color="A6A6A6" w:sz="4"/>
              <w:right w:val="single" w:color="A6A6A6" w:sz="4"/>
            </w:tcBorders>
          </w:tcPr>
          <w:p>
            <w:r>
              <w:rPr>
                <w:sz w:val="19"/>
                <w:szCs w:val="19"/>
              </w:rPr>
              <w:t xml:space="preserve">Explained in Section 5.3 (elevation limit, aperture/λ, comb emphasis on 1–4 kHz).</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12. Interactive figure, small figures</w:t>
            </w:r>
          </w:p>
        </w:tc>
        <w:tc>
          <w:tcPr>
            <w:tcW w:type="dxa" w:w="5770"/>
            <w:tcBorders>
              <w:top w:val="single" w:color="A6A6A6" w:sz="4"/>
              <w:left w:val="single" w:color="A6A6A6" w:sz="4"/>
              <w:bottom w:val="single" w:color="A6A6A6" w:sz="4"/>
              <w:right w:val="single" w:color="A6A6A6" w:sz="4"/>
            </w:tcBorders>
          </w:tcPr>
          <w:p>
            <w:r>
              <w:rPr>
                <w:sz w:val="19"/>
                <w:szCs w:val="19"/>
              </w:rPr>
              <w:t xml:space="preserve">Interactive rendering removed; all figures regenerated at 600 dpi with vector PDF versions.</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13. Table style and duplication</w:t>
            </w:r>
          </w:p>
        </w:tc>
        <w:tc>
          <w:tcPr>
            <w:tcW w:type="dxa" w:w="5770"/>
            <w:tcBorders>
              <w:top w:val="single" w:color="A6A6A6" w:sz="4"/>
              <w:left w:val="single" w:color="A6A6A6" w:sz="4"/>
              <w:bottom w:val="single" w:color="A6A6A6" w:sz="4"/>
              <w:right w:val="single" w:color="A6A6A6" w:sz="4"/>
            </w:tcBorders>
          </w:tcPr>
          <w:p>
            <w:r>
              <w:rPr>
                <w:sz w:val="19"/>
                <w:szCs w:val="19"/>
              </w:rPr>
              <w:t xml:space="preserve">Tables without vertical rules or shading; tables and figures no longer duplicate results.</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14. Funding placeholder</w:t>
            </w:r>
          </w:p>
        </w:tc>
        <w:tc>
          <w:tcPr>
            <w:tcW w:type="dxa" w:w="5770"/>
            <w:tcBorders>
              <w:top w:val="single" w:color="A6A6A6" w:sz="4"/>
              <w:left w:val="single" w:color="A6A6A6" w:sz="4"/>
              <w:bottom w:val="single" w:color="A6A6A6" w:sz="4"/>
              <w:right w:val="single" w:color="A6A6A6" w:sz="4"/>
            </w:tcBorders>
          </w:tcPr>
          <w:p>
            <w:r>
              <w:rPr>
                <w:sz w:val="19"/>
                <w:szCs w:val="19"/>
              </w:rPr>
              <w:t xml:space="preserve">Removed.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15. Affiliation</w:t>
            </w:r>
          </w:p>
        </w:tc>
        <w:tc>
          <w:tcPr>
            <w:tcW w:type="dxa" w:w="5770"/>
            <w:tcBorders>
              <w:top w:val="single" w:color="A6A6A6" w:sz="4"/>
              <w:left w:val="single" w:color="A6A6A6" w:sz="4"/>
              <w:bottom w:val="single" w:color="A6A6A6" w:sz="4"/>
              <w:right w:val="single" w:color="A6A6A6" w:sz="4"/>
            </w:tcBorders>
          </w:tcPr>
          <w:p>
            <w:r>
              <w:rPr>
                <w:sz w:val="19"/>
                <w:szCs w:val="19"/>
              </w:rPr>
              <w:t xml:space="preserve">Corrected to Prince Sultan Military College of Health Sciences, Dhahran, Saudi Arabia.</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16. Terminology and keywords</w:t>
            </w:r>
          </w:p>
        </w:tc>
        <w:tc>
          <w:tcPr>
            <w:tcW w:type="dxa" w:w="5770"/>
            <w:tcBorders>
              <w:top w:val="single" w:color="A6A6A6" w:sz="4"/>
              <w:left w:val="single" w:color="A6A6A6" w:sz="4"/>
              <w:bottom w:val="single" w:color="A6A6A6" w:sz="4"/>
              <w:right w:val="single" w:color="A6A6A6" w:sz="4"/>
            </w:tcBorders>
          </w:tcPr>
          <w:p>
            <w:r>
              <w:rPr>
                <w:sz w:val="19"/>
                <w:szCs w:val="19"/>
              </w:rPr>
              <w:t xml:space="preserve">"Drone-type signature" defined; keywords shortened.</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17. DOIs, data references, access dates</w:t>
            </w:r>
          </w:p>
        </w:tc>
        <w:tc>
          <w:tcPr>
            <w:tcW w:type="dxa" w:w="5770"/>
            <w:tcBorders>
              <w:top w:val="single" w:color="A6A6A6" w:sz="4"/>
              <w:left w:val="single" w:color="A6A6A6" w:sz="4"/>
              <w:bottom w:val="single" w:color="A6A6A6" w:sz="4"/>
              <w:right w:val="single" w:color="A6A6A6" w:sz="4"/>
            </w:tcBorders>
          </w:tcPr>
          <w:p>
            <w:r>
              <w:rPr>
                <w:sz w:val="19"/>
                <w:szCs w:val="19"/>
              </w:rPr>
              <w:t xml:space="preserve">DOIs added where available; dataset references and access dates for web sources.</w:t>
            </w:r>
          </w:p>
        </w:tc>
      </w:tr>
      <w:tr>
        <w:tc>
          <w:tcPr>
            <w:tcW w:type="dxa" w:w="3300"/>
            <w:tcBorders>
              <w:top w:val="single" w:color="A6A6A6" w:sz="4"/>
              <w:left w:val="single" w:color="A6A6A6" w:sz="4"/>
              <w:bottom w:val="single" w:color="A6A6A6" w:sz="4"/>
              <w:right w:val="single" w:color="A6A6A6" w:sz="4"/>
            </w:tcBorders>
          </w:tcPr>
          <w:p>
            <w:r>
              <w:rPr>
                <w:sz w:val="19"/>
                <w:szCs w:val="19"/>
              </w:rPr>
              <w:t xml:space="preserve">18. Generative-AI declaration for figures</w:t>
            </w:r>
          </w:p>
        </w:tc>
        <w:tc>
          <w:tcPr>
            <w:tcW w:type="dxa" w:w="5770"/>
            <w:tcBorders>
              <w:top w:val="single" w:color="A6A6A6" w:sz="4"/>
              <w:left w:val="single" w:color="A6A6A6" w:sz="4"/>
              <w:bottom w:val="single" w:color="A6A6A6" w:sz="4"/>
              <w:right w:val="single" w:color="A6A6A6" w:sz="4"/>
            </w:tcBorders>
          </w:tcPr>
          <w:p>
            <w:r>
              <w:rPr>
                <w:sz w:val="19"/>
                <w:szCs w:val="19"/>
              </w:rPr>
              <w:t xml:space="preserve">Declaration states that figures were generated from code with matplotlib and that Fig. 2 shows the author's CAD renders.</w:t>
            </w:r>
          </w:p>
        </w:tc>
      </w:tr>
    </w:tbl>
    <w:p>
      <w:pPr>
        <w:spacing w:after="120" w:line="288"/>
        <w:jc w:val="both"/>
      </w:pPr>
    </w:p>
    <w:p>
      <w:pPr>
        <w:spacing w:after="120" w:line="288"/>
        <w:jc w:val="both"/>
      </w:pPr>
      <w:r>
        <w:rPr>
          <w:b/>
          <w:bCs/>
        </w:rPr>
        <w:t xml:space="preserve">Graphical abstract and Vitae.</w:t>
      </w:r>
      <w:r>
        <w:t xml:space="preserve"> A short biography will be provided by the author; a graphical abstract can be derived from Fig. 5.</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2026-10-05T02:13:58.622Z</dcterms:created>
  <dcterms:modified xsi:type="dcterms:W3CDTF">2026-10-05T02:13:58.622Z</dcterms:modified>
</cp:coreProperties>
</file>

<file path=docProps/custom.xml><?xml version="1.0" encoding="utf-8"?>
<Properties xmlns="http://schemas.openxmlformats.org/officeDocument/2006/custom-properties" xmlns:vt="http://schemas.openxmlformats.org/officeDocument/2006/docPropsVTypes"/>
</file>