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Arial" w:cs="Arial" w:eastAsia="Arial" w:hAnsi="Arial"/>
          <w:b/>
          <w:bCs/>
          <w:sz w:val="32"/>
          <w:szCs w:val="32"/>
          <w:rtl/>
        </w:rPr>
        <w:t xml:space="preserve">مقارنة تجريبية بين ستة مصنِّفات لتصنيف احتشاء عضلة القلب من إشارة ECG</w:t>
      </w:r>
    </w:p>
    <w:p>
      <w:pPr>
        <w:bidi/>
        <w:spacing w:after="300"/>
        <w:jc w:val="center"/>
      </w:pPr>
      <w:r>
        <w:rPr>
          <w:rFonts w:ascii="Arial" w:cs="Arial" w:eastAsia="Arial" w:hAnsi="Arial"/>
          <w:i/>
          <w:iCs/>
          <w:sz w:val="21"/>
          <w:szCs w:val="21"/>
          <w:rtl/>
        </w:rPr>
        <w:t xml:space="preserve">امتداد تجريبي لمشروع ecg-mi-classifier — تقييم موحّد عبر Random Forest، شجرة قرار مفردة، شعاع الدعم الآلي (SVM)، أقرب سنترويد، نماذج عنقودية (K-Means)، واختزال الأبعاد (PCA)، على نفس المعالجة (Stemming بالتقاطع) ونفس منهجية التحقق (GroupKFold على مستوى المريض)</w:t>
      </w:r>
    </w:p>
    <w:p>
      <w:pPr>
        <w:pStyle w:val="Heading1"/>
        <w:bidi/>
        <w:spacing w:after="140" w:before="280"/>
        <w:jc w:val="right"/>
      </w:pPr>
      <w:r>
        <w:rPr>
          <w:rFonts w:ascii="Arial" w:cs="Arial" w:eastAsia="Arial" w:hAnsi="Arial"/>
          <w:b/>
          <w:bCs/>
          <w:rtl/>
        </w:rPr>
        <w:t xml:space="preserve">1. المقدمة والدافع</w:t>
      </w:r>
    </w:p>
    <w:p>
      <w:pPr>
        <w:bidi/>
        <w:spacing w:after="160"/>
        <w:jc w:val="right"/>
      </w:pPr>
      <w:r>
        <w:rPr>
          <w:rFonts w:ascii="Arial" w:cs="Arial" w:eastAsia="Arial" w:hAnsi="Arial"/>
          <w:rtl/>
        </w:rPr>
        <w:t xml:space="preserve">يعتمد التطبيق الحالي (ecg-mi-classifier) على مصنِّف Random Forest لتصنيف نوع احتشاء عضلة القلب من إشارة ECG بعد معالجة مورفولوجية (Stemming) تقارن شكل النبضة بمدى إحصائي طبيعي. بجلسة سابقة، اقتُرح استبدال Random Forest بمصنِّف "أقرب سنترويد" (Nearest Centroid) أبسط بنيوياً، فجُرِّب فعلياً وتبيّن أنه لم يتفوّق — لكن تلك التجربة قارنت طريقتين فقط، وباستخدام نوعين مختلفين قليلاً من Stemming لكل طريقة، ما يترك مجالاً للتساؤل: هل النتيجة كانت لصالح Random Forest تحديداً، أم لصالح أي مصنِّف "أقوى" بشكل عام؟</w:t>
      </w:r>
    </w:p>
    <w:p>
      <w:pPr>
        <w:bidi/>
        <w:spacing w:after="160"/>
        <w:jc w:val="right"/>
      </w:pPr>
      <w:r>
        <w:rPr>
          <w:rFonts w:ascii="Arial" w:cs="Arial" w:eastAsia="Arial" w:hAnsi="Arial"/>
          <w:rtl/>
        </w:rPr>
        <w:t xml:space="preserve">هذي المقالة توسّع التجربة لتشمل ست عائلات تصنيف مختلفة معاً، على نفس التغذية بالضبط (نفس Stemming بالتقاطع، نفس مسح عرض المدى k)، بهدف عزل أثر "طريقة اتخاذ القرار النهائي" عن أي فرق آخر بالمعالجة، والوصول لإجابة أوضح حول أي عائلة تصنيف الأنسب فعلياً لهذي المسألة.</w:t>
      </w:r>
    </w:p>
    <w:p>
      <w:pPr>
        <w:pStyle w:val="Heading1"/>
        <w:bidi/>
        <w:spacing w:after="140" w:before="280"/>
        <w:jc w:val="right"/>
      </w:pPr>
      <w:r>
        <w:rPr>
          <w:rFonts w:ascii="Arial" w:cs="Arial" w:eastAsia="Arial" w:hAnsi="Arial"/>
          <w:b/>
          <w:bCs/>
          <w:rtl/>
        </w:rPr>
        <w:t xml:space="preserve">2. المنهجية</w:t>
      </w:r>
    </w:p>
    <w:p>
      <w:pPr>
        <w:bidi/>
        <w:spacing w:after="160"/>
        <w:jc w:val="right"/>
      </w:pPr>
      <w:r>
        <w:rPr>
          <w:rFonts w:ascii="Arial" w:cs="Arial" w:eastAsia="Arial" w:hAnsi="Arial"/>
          <w:b/>
          <w:bCs/>
          <w:rtl/>
        </w:rPr>
        <w:t xml:space="preserve">2.1 البيانات</w:t>
      </w:r>
    </w:p>
    <w:p>
      <w:pPr>
        <w:bidi/>
        <w:spacing w:after="160"/>
        <w:jc w:val="right"/>
      </w:pPr>
      <w:r>
        <w:rPr>
          <w:rFonts w:ascii="Arial" w:cs="Arial" w:eastAsia="Arial" w:hAnsi="Arial"/>
          <w:rtl/>
        </w:rPr>
        <w:t xml:space="preserve">492 مريضاً حقيقياً من قاعدة بيانات PTB-XL المفتوحة (physionet.org/content/ptb-xl)، بتشخيص طبيبي قلب مستقلين، عبر أربعة أقطاب مدعومة: Lead I، aVR، V2، وV6. إجمالي 5,952 نبضة لكل قطب.</w:t>
      </w:r>
    </w:p>
    <w:p>
      <w:pPr>
        <w:bidi/>
        <w:spacing w:after="160"/>
        <w:jc w:val="right"/>
      </w:pPr>
      <w:r>
        <w:rPr>
          <w:rFonts w:ascii="Arial" w:cs="Arial" w:eastAsia="Arial" w:hAnsi="Arial"/>
          <w:b/>
          <w:bCs/>
          <w:rtl/>
        </w:rPr>
        <w:t xml:space="preserve">2.2 التغذية المشتركة (Feature) لكل الطرق</w:t>
      </w:r>
    </w:p>
    <w:p>
      <w:pPr>
        <w:bidi/>
        <w:spacing w:after="160"/>
        <w:jc w:val="right"/>
      </w:pPr>
      <w:r>
        <w:rPr>
          <w:rFonts w:ascii="Arial" w:cs="Arial" w:eastAsia="Arial" w:hAnsi="Arial"/>
          <w:rtl/>
        </w:rPr>
        <w:t xml:space="preserve">لكل نبضة، وبعد بناء مدى إحصائي (متوسط ± k×انحراف معياري) لكل فئة على حدة (بما فيها كل فئة مرضية، لا الطبيعي فقط)، تُطبَّق عملية "Stemming بالتقاطع": تُبقى فقط نقاط النبضة الواقعة خارج المدى الطبيعي وداخل مدى فئة مرضية واحدة على الأقل، وتُصفَّر كل نقطة أخرى (بما فيها أي نقطة بعد نقطة القطع الديناميكية الخاصة بالنبضة). نفس هذا التمثيل بالضبط (بنفس k بكل تركيبة) يُغذّى لكل الطرق الست، لضمان عدالة المقارنة.</w:t>
      </w:r>
    </w:p>
    <w:p>
      <w:pPr>
        <w:bidi/>
        <w:spacing w:after="160"/>
        <w:jc w:val="right"/>
      </w:pPr>
      <w:r>
        <w:rPr>
          <w:rFonts w:ascii="Arial" w:cs="Arial" w:eastAsia="Arial" w:hAnsi="Arial"/>
          <w:b/>
          <w:bCs/>
          <w:rtl/>
        </w:rPr>
        <w:t xml:space="preserve">2.3 الطرق الست المقارَنة</w:t>
      </w:r>
    </w:p>
    <w:p>
      <w:pPr>
        <w:bidi/>
        <w:spacing w:after="160"/>
        <w:jc w:val="right"/>
      </w:pPr>
      <w:r>
        <w:rPr>
          <w:rFonts w:ascii="Arial" w:cs="Arial" w:eastAsia="Arial" w:hAnsi="Arial"/>
          <w:rtl/>
        </w:rPr>
        <w:t xml:space="preserve">• غابة عشوائية (Random Forest): 300 شجرة، عمق أقصى 12، نفس إعدادات النموذج الحالي بالإنتاج.</w:t>
      </w:r>
    </w:p>
    <w:p>
      <w:pPr>
        <w:bidi/>
        <w:spacing w:after="160"/>
        <w:jc w:val="right"/>
      </w:pPr>
      <w:r>
        <w:rPr>
          <w:rFonts w:ascii="Arial" w:cs="Arial" w:eastAsia="Arial" w:hAnsi="Arial"/>
          <w:rtl/>
        </w:rPr>
        <w:t xml:space="preserve">• شجرة قرار مفردة (Decision Tree): بنفس عمق Random Forest، لعزل أثر التجميع (Ensemble) نفسه عن أثر الشجرة الواحدة.</w:t>
      </w:r>
    </w:p>
    <w:p>
      <w:pPr>
        <w:bidi/>
        <w:spacing w:after="160"/>
        <w:jc w:val="right"/>
      </w:pPr>
      <w:r>
        <w:rPr>
          <w:rFonts w:ascii="Arial" w:cs="Arial" w:eastAsia="Arial" w:hAnsi="Arial"/>
          <w:rtl/>
        </w:rPr>
        <w:t xml:space="preserve">• شعاع الدعم الآلي (SVM): بنواة RBF (الأكثر شيوعاً للبيانات غير الخطية)، مع موازنة أوزان الفئات.</w:t>
      </w:r>
    </w:p>
    <w:p>
      <w:pPr>
        <w:bidi/>
        <w:spacing w:after="160"/>
        <w:jc w:val="right"/>
      </w:pPr>
      <w:r>
        <w:rPr>
          <w:rFonts w:ascii="Arial" w:cs="Arial" w:eastAsia="Arial" w:hAnsi="Arial"/>
          <w:rtl/>
        </w:rPr>
        <w:t xml:space="preserve">• أقرب سنترويد (Nearest Centroid): سنترويد واحد (متوسط شكل البقايا) لكل فئة، والتصنيف بأقرب سنترويد بمسافة إقليدية.</w:t>
      </w:r>
    </w:p>
    <w:p>
      <w:pPr>
        <w:bidi/>
        <w:spacing w:after="160"/>
        <w:jc w:val="right"/>
      </w:pPr>
      <w:r>
        <w:rPr>
          <w:rFonts w:ascii="Arial" w:cs="Arial" w:eastAsia="Arial" w:hAnsi="Arial"/>
          <w:rtl/>
        </w:rPr>
        <w:t xml:space="preserve">• نماذج عنقودية (Cluster Prototypes): تعميم لأقرب سنترويد — تُبنى 3 عناقيد (K-Means) داخل كل فئة بدل سنترويد واحد، والتصنيف بأقرب عنقود من بين عناقيد كل الفئات معاً.</w:t>
      </w:r>
    </w:p>
    <w:p>
      <w:pPr>
        <w:bidi/>
        <w:spacing w:after="160"/>
        <w:jc w:val="right"/>
      </w:pPr>
      <w:r>
        <w:rPr>
          <w:rFonts w:ascii="Arial" w:cs="Arial" w:eastAsia="Arial" w:hAnsi="Arial"/>
          <w:rtl/>
        </w:rPr>
        <w:t xml:space="preserve">• اختزال أبعاد + انحدار لوجستي (PCA+LogReg): تقليل أبعاد النبضة (400 نقطة) عبر تحليل المكوّنات الأساسية (بالإبقاء على 95% من التباين) قبل تصنيف خطي بسيط — لفحص أثر "لعنة الأبعاد" تحديداً.</w:t>
      </w:r>
    </w:p>
    <w:p>
      <w:pPr>
        <w:bidi/>
        <w:spacing w:after="160"/>
        <w:jc w:val="right"/>
      </w:pPr>
      <w:r>
        <w:rPr>
          <w:rFonts w:ascii="Arial" w:cs="Arial" w:eastAsia="Arial" w:hAnsi="Arial"/>
          <w:b/>
          <w:bCs/>
          <w:rtl/>
        </w:rPr>
        <w:t xml:space="preserve">2.4 التقييم</w:t>
      </w:r>
    </w:p>
    <w:p>
      <w:pPr>
        <w:bidi/>
        <w:spacing w:after="160"/>
        <w:jc w:val="right"/>
      </w:pPr>
      <w:r>
        <w:rPr>
          <w:rFonts w:ascii="Arial" w:cs="Arial" w:eastAsia="Arial" w:hAnsi="Arial"/>
          <w:rtl/>
        </w:rPr>
        <w:t xml:space="preserve">GroupKFold بخمس طيّات على مستوى المريض (patient_id) — لا تظهر نبضات نفس المريض بالتدريب والاختبار معاً بنفس الطيّة، لمنع أي تسريب بيانات. مقياس الأداء: Macro-F1 (متوسط F1 غير مرجَّح عبر كل الفئات، مناسب لعدم توازن عدد المرضى بين الفئات). عرض المدى k مُمسوح على القيم {0.75، 1.25، 1.75، 2.25، 2.5}، وأُخذت أفضل نتيجة لكل طريقة/قطب.</w:t>
      </w:r>
    </w:p>
    <w:p>
      <w:r>
        <w:br w:type="page"/>
      </w:r>
    </w:p>
    <w:p>
      <w:pPr>
        <w:pStyle w:val="Heading1"/>
        <w:bidi/>
        <w:spacing w:after="140" w:before="280"/>
        <w:jc w:val="right"/>
      </w:pPr>
      <w:r>
        <w:rPr>
          <w:rFonts w:ascii="Arial" w:cs="Arial" w:eastAsia="Arial" w:hAnsi="Arial"/>
          <w:b/>
          <w:bCs/>
          <w:rtl/>
        </w:rPr>
        <w:t xml:space="preserve">3. النتائج</w:t>
      </w:r>
    </w:p>
    <w:p>
      <w:pPr>
        <w:bidi/>
        <w:spacing w:after="160"/>
        <w:jc w:val="right"/>
      </w:pPr>
      <w:r>
        <w:rPr>
          <w:rFonts w:ascii="Arial" w:cs="Arial" w:eastAsia="Arial" w:hAnsi="Arial"/>
          <w:rtl/>
        </w:rPr>
        <w:t xml:space="preserve">الجداول أدناه تعرض أفضل نتيجة Macro-F1 لكل طريقة، مرتّبة تنازلياً حسب الأداء داخل كل قطب (★ يشير لأفضل نتيجة بالقطب).</w:t>
      </w:r>
    </w:p>
    <w:p>
      <w:pPr>
        <w:pStyle w:val="Heading2"/>
        <w:bidi/>
        <w:spacing w:after="140" w:before="280"/>
        <w:jc w:val="right"/>
      </w:pPr>
      <w:r>
        <w:rPr>
          <w:rFonts w:ascii="Arial" w:cs="Arial" w:eastAsia="Arial" w:hAnsi="Arial"/>
          <w:b/>
          <w:bCs/>
          <w:rtl/>
        </w:rPr>
        <w:t xml:space="preserve">قطب Lead I (492 مريضاً، 5,952 نبضة)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800"/>
      </w:tblGrid>
      <w:tr>
        <w:tc>
          <w:tcPr>
            <w:tcW w:type="dxa" w:w="2600"/>
            <w:shd w:fill="E9EEF3" w:val="clear"/>
          </w:tcPr>
          <w:p>
            <w:pPr>
              <w:bidi/>
              <w:jc w:val="center"/>
            </w:pPr>
            <w:r>
              <w:rPr>
                <w:rFonts w:ascii="Arial" w:cs="Arial" w:eastAsia="Arial" w:hAnsi="Arial"/>
                <w:b/>
                <w:bCs/>
                <w:rtl/>
              </w:rPr>
              <w:t xml:space="preserve">الطريقة</w:t>
            </w:r>
          </w:p>
        </w:tc>
        <w:tc>
          <w:tcPr>
            <w:tcW w:type="dxa" w:w="2000"/>
            <w:shd w:fill="E9EEF3" w:val="clear"/>
          </w:tcPr>
          <w:p>
            <w:pPr>
              <w:bidi/>
              <w:jc w:val="center"/>
            </w:pPr>
            <w:r>
              <w:rPr>
                <w:rFonts w:ascii="Arial" w:cs="Arial" w:eastAsia="Arial" w:hAnsi="Arial"/>
                <w:b/>
                <w:bCs/>
                <w:rtl/>
              </w:rPr>
              <w:t xml:space="preserve">Macro-F1</w:t>
            </w:r>
          </w:p>
        </w:tc>
        <w:tc>
          <w:tcPr>
            <w:tcW w:type="dxa" w:w="2000"/>
            <w:shd w:fill="E9EEF3" w:val="clear"/>
          </w:tcPr>
          <w:p>
            <w:pPr>
              <w:bidi/>
              <w:jc w:val="center"/>
            </w:pPr>
            <w:r>
              <w:rPr>
                <w:rFonts w:ascii="Arial" w:cs="Arial" w:eastAsia="Arial" w:hAnsi="Arial"/>
                <w:b/>
                <w:bCs/>
                <w:rtl/>
              </w:rPr>
              <w:t xml:space="preserve">± انحراف معياري</w:t>
            </w:r>
          </w:p>
        </w:tc>
        <w:tc>
          <w:tcPr>
            <w:tcW w:type="dxa" w:w="1800"/>
            <w:shd w:fill="E9EEF3" w:val="clear"/>
          </w:tcPr>
          <w:p>
            <w:pPr>
              <w:bidi/>
              <w:jc w:val="center"/>
            </w:pPr>
            <w:r>
              <w:rPr>
                <w:rFonts w:ascii="Arial" w:cs="Arial" w:eastAsia="Arial" w:hAnsi="Arial"/>
                <w:b/>
                <w:bCs/>
                <w:rtl/>
              </w:rPr>
              <w:t xml:space="preserve">أفضل k</w:t>
            </w:r>
          </w:p>
        </w:tc>
      </w:tr>
      <w:tr>
        <w:tc>
          <w:tcPr>
            <w:tcW w:type="dxa" w:w="2600"/>
          </w:tcPr>
          <w:p>
            <w:pPr>
              <w:bidi/>
              <w:jc w:val="center"/>
            </w:pPr>
            <w:r>
              <w:rPr>
                <w:rFonts w:ascii="Arial" w:cs="Arial" w:eastAsia="Arial" w:hAnsi="Arial"/>
                <w:b w:val="false"/>
                <w:bCs w:val="false"/>
                <w:rtl/>
              </w:rPr>
              <w:t xml:space="preserve">غابة عشوائية</w:t>
            </w:r>
          </w:p>
        </w:tc>
        <w:tc>
          <w:tcPr>
            <w:tcW w:type="dxa" w:w="2000"/>
          </w:tcPr>
          <w:p>
            <w:pPr>
              <w:bidi/>
              <w:jc w:val="center"/>
            </w:pPr>
            <w:r>
              <w:rPr>
                <w:rFonts w:ascii="Arial" w:cs="Arial" w:eastAsia="Arial" w:hAnsi="Arial"/>
                <w:b w:val="false"/>
                <w:bCs w:val="false"/>
                <w:rtl/>
              </w:rPr>
              <w:t xml:space="preserve">0.302 ★</w:t>
            </w:r>
          </w:p>
        </w:tc>
        <w:tc>
          <w:tcPr>
            <w:tcW w:type="dxa" w:w="2000"/>
          </w:tcPr>
          <w:p>
            <w:pPr>
              <w:bidi/>
              <w:jc w:val="center"/>
            </w:pPr>
            <w:r>
              <w:rPr>
                <w:rFonts w:ascii="Arial" w:cs="Arial" w:eastAsia="Arial" w:hAnsi="Arial"/>
                <w:b w:val="false"/>
                <w:bCs w:val="false"/>
                <w:rtl/>
              </w:rPr>
              <w:t xml:space="preserve">0.045</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شعاع دعم آلي (نواة RBF)</w:t>
            </w:r>
          </w:p>
        </w:tc>
        <w:tc>
          <w:tcPr>
            <w:tcW w:type="dxa" w:w="2000"/>
          </w:tcPr>
          <w:p>
            <w:pPr>
              <w:bidi/>
              <w:jc w:val="center"/>
            </w:pPr>
            <w:r>
              <w:rPr>
                <w:rFonts w:ascii="Arial" w:cs="Arial" w:eastAsia="Arial" w:hAnsi="Arial"/>
                <w:b w:val="false"/>
                <w:bCs w:val="false"/>
                <w:rtl/>
              </w:rPr>
              <w:t xml:space="preserve">0.301</w:t>
            </w:r>
          </w:p>
        </w:tc>
        <w:tc>
          <w:tcPr>
            <w:tcW w:type="dxa" w:w="2000"/>
          </w:tcPr>
          <w:p>
            <w:pPr>
              <w:bidi/>
              <w:jc w:val="center"/>
            </w:pPr>
            <w:r>
              <w:rPr>
                <w:rFonts w:ascii="Arial" w:cs="Arial" w:eastAsia="Arial" w:hAnsi="Arial"/>
                <w:b w:val="false"/>
                <w:bCs w:val="false"/>
                <w:rtl/>
              </w:rPr>
              <w:t xml:space="preserve">0.023</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شجرة قرار مفردة</w:t>
            </w:r>
          </w:p>
        </w:tc>
        <w:tc>
          <w:tcPr>
            <w:tcW w:type="dxa" w:w="2000"/>
          </w:tcPr>
          <w:p>
            <w:pPr>
              <w:bidi/>
              <w:jc w:val="center"/>
            </w:pPr>
            <w:r>
              <w:rPr>
                <w:rFonts w:ascii="Arial" w:cs="Arial" w:eastAsia="Arial" w:hAnsi="Arial"/>
                <w:b w:val="false"/>
                <w:bCs w:val="false"/>
                <w:rtl/>
              </w:rPr>
              <w:t xml:space="preserve">0.297</w:t>
            </w:r>
          </w:p>
        </w:tc>
        <w:tc>
          <w:tcPr>
            <w:tcW w:type="dxa" w:w="2000"/>
          </w:tcPr>
          <w:p>
            <w:pPr>
              <w:bidi/>
              <w:jc w:val="center"/>
            </w:pPr>
            <w:r>
              <w:rPr>
                <w:rFonts w:ascii="Arial" w:cs="Arial" w:eastAsia="Arial" w:hAnsi="Arial"/>
                <w:b w:val="false"/>
                <w:bCs w:val="false"/>
                <w:rtl/>
              </w:rPr>
              <w:t xml:space="preserve">0.029</w:t>
            </w:r>
          </w:p>
        </w:tc>
        <w:tc>
          <w:tcPr>
            <w:tcW w:type="dxa" w:w="1800"/>
          </w:tcPr>
          <w:p>
            <w:pPr>
              <w:bidi/>
              <w:jc w:val="center"/>
            </w:pPr>
            <w:r>
              <w:rPr>
                <w:rFonts w:ascii="Arial" w:cs="Arial" w:eastAsia="Arial" w:hAnsi="Arial"/>
                <w:b w:val="false"/>
                <w:bCs w:val="false"/>
                <w:rtl/>
              </w:rPr>
              <w:t xml:space="preserve">1.75</w:t>
            </w:r>
          </w:p>
        </w:tc>
      </w:tr>
      <w:tr>
        <w:tc>
          <w:tcPr>
            <w:tcW w:type="dxa" w:w="2600"/>
          </w:tcPr>
          <w:p>
            <w:pPr>
              <w:bidi/>
              <w:jc w:val="center"/>
            </w:pPr>
            <w:r>
              <w:rPr>
                <w:rFonts w:ascii="Arial" w:cs="Arial" w:eastAsia="Arial" w:hAnsi="Arial"/>
                <w:b w:val="false"/>
                <w:bCs w:val="false"/>
                <w:rtl/>
              </w:rPr>
              <w:t xml:space="preserve">اختزال أبعاد + انحدار لوجستي</w:t>
            </w:r>
          </w:p>
        </w:tc>
        <w:tc>
          <w:tcPr>
            <w:tcW w:type="dxa" w:w="2000"/>
          </w:tcPr>
          <w:p>
            <w:pPr>
              <w:bidi/>
              <w:jc w:val="center"/>
            </w:pPr>
            <w:r>
              <w:rPr>
                <w:rFonts w:ascii="Arial" w:cs="Arial" w:eastAsia="Arial" w:hAnsi="Arial"/>
                <w:b w:val="false"/>
                <w:bCs w:val="false"/>
                <w:rtl/>
              </w:rPr>
              <w:t xml:space="preserve">0.280</w:t>
            </w:r>
          </w:p>
        </w:tc>
        <w:tc>
          <w:tcPr>
            <w:tcW w:type="dxa" w:w="2000"/>
          </w:tcPr>
          <w:p>
            <w:pPr>
              <w:bidi/>
              <w:jc w:val="center"/>
            </w:pPr>
            <w:r>
              <w:rPr>
                <w:rFonts w:ascii="Arial" w:cs="Arial" w:eastAsia="Arial" w:hAnsi="Arial"/>
                <w:b w:val="false"/>
                <w:bCs w:val="false"/>
                <w:rtl/>
              </w:rPr>
              <w:t xml:space="preserve">0.028</w:t>
            </w:r>
          </w:p>
        </w:tc>
        <w:tc>
          <w:tcPr>
            <w:tcW w:type="dxa" w:w="1800"/>
          </w:tcPr>
          <w:p>
            <w:pPr>
              <w:bidi/>
              <w:jc w:val="center"/>
            </w:pPr>
            <w:r>
              <w:rPr>
                <w:rFonts w:ascii="Arial" w:cs="Arial" w:eastAsia="Arial" w:hAnsi="Arial"/>
                <w:b w:val="false"/>
                <w:bCs w:val="false"/>
                <w:rtl/>
              </w:rPr>
              <w:t xml:space="preserve">1.75</w:t>
            </w:r>
          </w:p>
        </w:tc>
      </w:tr>
      <w:tr>
        <w:tc>
          <w:tcPr>
            <w:tcW w:type="dxa" w:w="2600"/>
          </w:tcPr>
          <w:p>
            <w:pPr>
              <w:bidi/>
              <w:jc w:val="center"/>
            </w:pPr>
            <w:r>
              <w:rPr>
                <w:rFonts w:ascii="Arial" w:cs="Arial" w:eastAsia="Arial" w:hAnsi="Arial"/>
                <w:b w:val="false"/>
                <w:bCs w:val="false"/>
                <w:rtl/>
              </w:rPr>
              <w:t xml:space="preserve">نماذج عنقودية</w:t>
            </w:r>
          </w:p>
        </w:tc>
        <w:tc>
          <w:tcPr>
            <w:tcW w:type="dxa" w:w="2000"/>
          </w:tcPr>
          <w:p>
            <w:pPr>
              <w:bidi/>
              <w:jc w:val="center"/>
            </w:pPr>
            <w:r>
              <w:rPr>
                <w:rFonts w:ascii="Arial" w:cs="Arial" w:eastAsia="Arial" w:hAnsi="Arial"/>
                <w:b w:val="false"/>
                <w:bCs w:val="false"/>
                <w:rtl/>
              </w:rPr>
              <w:t xml:space="preserve">0.267</w:t>
            </w:r>
          </w:p>
        </w:tc>
        <w:tc>
          <w:tcPr>
            <w:tcW w:type="dxa" w:w="2000"/>
          </w:tcPr>
          <w:p>
            <w:pPr>
              <w:bidi/>
              <w:jc w:val="center"/>
            </w:pPr>
            <w:r>
              <w:rPr>
                <w:rFonts w:ascii="Arial" w:cs="Arial" w:eastAsia="Arial" w:hAnsi="Arial"/>
                <w:b w:val="false"/>
                <w:bCs w:val="false"/>
                <w:rtl/>
              </w:rPr>
              <w:t xml:space="preserve">0.012</w:t>
            </w:r>
          </w:p>
        </w:tc>
        <w:tc>
          <w:tcPr>
            <w:tcW w:type="dxa" w:w="1800"/>
          </w:tcPr>
          <w:p>
            <w:pPr>
              <w:bidi/>
              <w:jc w:val="center"/>
            </w:pPr>
            <w:r>
              <w:rPr>
                <w:rFonts w:ascii="Arial" w:cs="Arial" w:eastAsia="Arial" w:hAnsi="Arial"/>
                <w:b w:val="false"/>
                <w:bCs w:val="false"/>
                <w:rtl/>
              </w:rPr>
              <w:t xml:space="preserve">1.75</w:t>
            </w:r>
          </w:p>
        </w:tc>
      </w:tr>
      <w:tr>
        <w:tc>
          <w:tcPr>
            <w:tcW w:type="dxa" w:w="2600"/>
          </w:tcPr>
          <w:p>
            <w:pPr>
              <w:bidi/>
              <w:jc w:val="center"/>
            </w:pPr>
            <w:r>
              <w:rPr>
                <w:rFonts w:ascii="Arial" w:cs="Arial" w:eastAsia="Arial" w:hAnsi="Arial"/>
                <w:b w:val="false"/>
                <w:bCs w:val="false"/>
                <w:rtl/>
              </w:rPr>
              <w:t xml:space="preserve">أقرب سنترويد</w:t>
            </w:r>
          </w:p>
        </w:tc>
        <w:tc>
          <w:tcPr>
            <w:tcW w:type="dxa" w:w="2000"/>
          </w:tcPr>
          <w:p>
            <w:pPr>
              <w:bidi/>
              <w:jc w:val="center"/>
            </w:pPr>
            <w:r>
              <w:rPr>
                <w:rFonts w:ascii="Arial" w:cs="Arial" w:eastAsia="Arial" w:hAnsi="Arial"/>
                <w:b w:val="false"/>
                <w:bCs w:val="false"/>
                <w:rtl/>
              </w:rPr>
              <w:t xml:space="preserve">0.245</w:t>
            </w:r>
          </w:p>
        </w:tc>
        <w:tc>
          <w:tcPr>
            <w:tcW w:type="dxa" w:w="2000"/>
          </w:tcPr>
          <w:p>
            <w:pPr>
              <w:bidi/>
              <w:jc w:val="center"/>
            </w:pPr>
            <w:r>
              <w:rPr>
                <w:rFonts w:ascii="Arial" w:cs="Arial" w:eastAsia="Arial" w:hAnsi="Arial"/>
                <w:b w:val="false"/>
                <w:bCs w:val="false"/>
                <w:rtl/>
              </w:rPr>
              <w:t xml:space="preserve">0.039</w:t>
            </w:r>
          </w:p>
        </w:tc>
        <w:tc>
          <w:tcPr>
            <w:tcW w:type="dxa" w:w="1800"/>
          </w:tcPr>
          <w:p>
            <w:pPr>
              <w:bidi/>
              <w:jc w:val="center"/>
            </w:pPr>
            <w:r>
              <w:rPr>
                <w:rFonts w:ascii="Arial" w:cs="Arial" w:eastAsia="Arial" w:hAnsi="Arial"/>
                <w:b w:val="false"/>
                <w:bCs w:val="false"/>
                <w:rtl/>
              </w:rPr>
              <w:t xml:space="preserve">2.25</w:t>
            </w:r>
          </w:p>
        </w:tc>
      </w:tr>
    </w:tbl>
    <w:p>
      <w:pPr>
        <w:bidi/>
        <w:spacing w:after="200"/>
        <w:jc w:val="right"/>
      </w:pPr>
      <w:r>
        <w:rPr>
          <w:rFonts w:ascii="Arial" w:cs="Arial" w:eastAsia="Arial" w:hAnsi="Arial"/>
          <w:rtl/>
        </w:rPr>
        <w:t xml:space="preserve"/>
      </w:r>
    </w:p>
    <w:p>
      <w:pPr>
        <w:pStyle w:val="Heading2"/>
        <w:bidi/>
        <w:spacing w:after="140" w:before="280"/>
        <w:jc w:val="right"/>
      </w:pPr>
      <w:r>
        <w:rPr>
          <w:rFonts w:ascii="Arial" w:cs="Arial" w:eastAsia="Arial" w:hAnsi="Arial"/>
          <w:b/>
          <w:bCs/>
          <w:rtl/>
        </w:rPr>
        <w:t xml:space="preserve">قطب aVR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800"/>
      </w:tblGrid>
      <w:tr>
        <w:tc>
          <w:tcPr>
            <w:tcW w:type="dxa" w:w="2600"/>
            <w:shd w:fill="E9EEF3" w:val="clear"/>
          </w:tcPr>
          <w:p>
            <w:pPr>
              <w:bidi/>
              <w:jc w:val="center"/>
            </w:pPr>
            <w:r>
              <w:rPr>
                <w:rFonts w:ascii="Arial" w:cs="Arial" w:eastAsia="Arial" w:hAnsi="Arial"/>
                <w:b/>
                <w:bCs/>
                <w:rtl/>
              </w:rPr>
              <w:t xml:space="preserve">الطريقة</w:t>
            </w:r>
          </w:p>
        </w:tc>
        <w:tc>
          <w:tcPr>
            <w:tcW w:type="dxa" w:w="2000"/>
            <w:shd w:fill="E9EEF3" w:val="clear"/>
          </w:tcPr>
          <w:p>
            <w:pPr>
              <w:bidi/>
              <w:jc w:val="center"/>
            </w:pPr>
            <w:r>
              <w:rPr>
                <w:rFonts w:ascii="Arial" w:cs="Arial" w:eastAsia="Arial" w:hAnsi="Arial"/>
                <w:b/>
                <w:bCs/>
                <w:rtl/>
              </w:rPr>
              <w:t xml:space="preserve">Macro-F1</w:t>
            </w:r>
          </w:p>
        </w:tc>
        <w:tc>
          <w:tcPr>
            <w:tcW w:type="dxa" w:w="2000"/>
            <w:shd w:fill="E9EEF3" w:val="clear"/>
          </w:tcPr>
          <w:p>
            <w:pPr>
              <w:bidi/>
              <w:jc w:val="center"/>
            </w:pPr>
            <w:r>
              <w:rPr>
                <w:rFonts w:ascii="Arial" w:cs="Arial" w:eastAsia="Arial" w:hAnsi="Arial"/>
                <w:b/>
                <w:bCs/>
                <w:rtl/>
              </w:rPr>
              <w:t xml:space="preserve">± انحراف معياري</w:t>
            </w:r>
          </w:p>
        </w:tc>
        <w:tc>
          <w:tcPr>
            <w:tcW w:type="dxa" w:w="1800"/>
            <w:shd w:fill="E9EEF3" w:val="clear"/>
          </w:tcPr>
          <w:p>
            <w:pPr>
              <w:bidi/>
              <w:jc w:val="center"/>
            </w:pPr>
            <w:r>
              <w:rPr>
                <w:rFonts w:ascii="Arial" w:cs="Arial" w:eastAsia="Arial" w:hAnsi="Arial"/>
                <w:b/>
                <w:bCs/>
                <w:rtl/>
              </w:rPr>
              <w:t xml:space="preserve">أفضل k</w:t>
            </w:r>
          </w:p>
        </w:tc>
      </w:tr>
      <w:tr>
        <w:tc>
          <w:tcPr>
            <w:tcW w:type="dxa" w:w="2600"/>
          </w:tcPr>
          <w:p>
            <w:pPr>
              <w:bidi/>
              <w:jc w:val="center"/>
            </w:pPr>
            <w:r>
              <w:rPr>
                <w:rFonts w:ascii="Arial" w:cs="Arial" w:eastAsia="Arial" w:hAnsi="Arial"/>
                <w:b w:val="false"/>
                <w:bCs w:val="false"/>
                <w:rtl/>
              </w:rPr>
              <w:t xml:space="preserve">غابة عشوائية</w:t>
            </w:r>
          </w:p>
        </w:tc>
        <w:tc>
          <w:tcPr>
            <w:tcW w:type="dxa" w:w="2000"/>
          </w:tcPr>
          <w:p>
            <w:pPr>
              <w:bidi/>
              <w:jc w:val="center"/>
            </w:pPr>
            <w:r>
              <w:rPr>
                <w:rFonts w:ascii="Arial" w:cs="Arial" w:eastAsia="Arial" w:hAnsi="Arial"/>
                <w:b w:val="false"/>
                <w:bCs w:val="false"/>
                <w:rtl/>
              </w:rPr>
              <w:t xml:space="preserve">0.414 ★</w:t>
            </w:r>
          </w:p>
        </w:tc>
        <w:tc>
          <w:tcPr>
            <w:tcW w:type="dxa" w:w="2000"/>
          </w:tcPr>
          <w:p>
            <w:pPr>
              <w:bidi/>
              <w:jc w:val="center"/>
            </w:pPr>
            <w:r>
              <w:rPr>
                <w:rFonts w:ascii="Arial" w:cs="Arial" w:eastAsia="Arial" w:hAnsi="Arial"/>
                <w:b w:val="false"/>
                <w:bCs w:val="false"/>
                <w:rtl/>
              </w:rPr>
              <w:t xml:space="preserve">0.051</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شعاع دعم آلي (نواة RBF)</w:t>
            </w:r>
          </w:p>
        </w:tc>
        <w:tc>
          <w:tcPr>
            <w:tcW w:type="dxa" w:w="2000"/>
          </w:tcPr>
          <w:p>
            <w:pPr>
              <w:bidi/>
              <w:jc w:val="center"/>
            </w:pPr>
            <w:r>
              <w:rPr>
                <w:rFonts w:ascii="Arial" w:cs="Arial" w:eastAsia="Arial" w:hAnsi="Arial"/>
                <w:b w:val="false"/>
                <w:bCs w:val="false"/>
                <w:rtl/>
              </w:rPr>
              <w:t xml:space="preserve">0.379</w:t>
            </w:r>
          </w:p>
        </w:tc>
        <w:tc>
          <w:tcPr>
            <w:tcW w:type="dxa" w:w="2000"/>
          </w:tcPr>
          <w:p>
            <w:pPr>
              <w:bidi/>
              <w:jc w:val="center"/>
            </w:pPr>
            <w:r>
              <w:rPr>
                <w:rFonts w:ascii="Arial" w:cs="Arial" w:eastAsia="Arial" w:hAnsi="Arial"/>
                <w:b w:val="false"/>
                <w:bCs w:val="false"/>
                <w:rtl/>
              </w:rPr>
              <w:t xml:space="preserve">0.044</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شجرة قرار مفردة</w:t>
            </w:r>
          </w:p>
        </w:tc>
        <w:tc>
          <w:tcPr>
            <w:tcW w:type="dxa" w:w="2000"/>
          </w:tcPr>
          <w:p>
            <w:pPr>
              <w:bidi/>
              <w:jc w:val="center"/>
            </w:pPr>
            <w:r>
              <w:rPr>
                <w:rFonts w:ascii="Arial" w:cs="Arial" w:eastAsia="Arial" w:hAnsi="Arial"/>
                <w:b w:val="false"/>
                <w:bCs w:val="false"/>
                <w:rtl/>
              </w:rPr>
              <w:t xml:space="preserve">0.346</w:t>
            </w:r>
          </w:p>
        </w:tc>
        <w:tc>
          <w:tcPr>
            <w:tcW w:type="dxa" w:w="2000"/>
          </w:tcPr>
          <w:p>
            <w:pPr>
              <w:bidi/>
              <w:jc w:val="center"/>
            </w:pPr>
            <w:r>
              <w:rPr>
                <w:rFonts w:ascii="Arial" w:cs="Arial" w:eastAsia="Arial" w:hAnsi="Arial"/>
                <w:b w:val="false"/>
                <w:bCs w:val="false"/>
                <w:rtl/>
              </w:rPr>
              <w:t xml:space="preserve">0.029</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اختزال أبعاد + انحدار لوجستي</w:t>
            </w:r>
          </w:p>
        </w:tc>
        <w:tc>
          <w:tcPr>
            <w:tcW w:type="dxa" w:w="2000"/>
          </w:tcPr>
          <w:p>
            <w:pPr>
              <w:bidi/>
              <w:jc w:val="center"/>
            </w:pPr>
            <w:r>
              <w:rPr>
                <w:rFonts w:ascii="Arial" w:cs="Arial" w:eastAsia="Arial" w:hAnsi="Arial"/>
                <w:b w:val="false"/>
                <w:bCs w:val="false"/>
                <w:rtl/>
              </w:rPr>
              <w:t xml:space="preserve">0.346</w:t>
            </w:r>
          </w:p>
        </w:tc>
        <w:tc>
          <w:tcPr>
            <w:tcW w:type="dxa" w:w="2000"/>
          </w:tcPr>
          <w:p>
            <w:pPr>
              <w:bidi/>
              <w:jc w:val="center"/>
            </w:pPr>
            <w:r>
              <w:rPr>
                <w:rFonts w:ascii="Arial" w:cs="Arial" w:eastAsia="Arial" w:hAnsi="Arial"/>
                <w:b w:val="false"/>
                <w:bCs w:val="false"/>
                <w:rtl/>
              </w:rPr>
              <w:t xml:space="preserve">0.036</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أقرب سنترويد</w:t>
            </w:r>
          </w:p>
        </w:tc>
        <w:tc>
          <w:tcPr>
            <w:tcW w:type="dxa" w:w="2000"/>
          </w:tcPr>
          <w:p>
            <w:pPr>
              <w:bidi/>
              <w:jc w:val="center"/>
            </w:pPr>
            <w:r>
              <w:rPr>
                <w:rFonts w:ascii="Arial" w:cs="Arial" w:eastAsia="Arial" w:hAnsi="Arial"/>
                <w:b w:val="false"/>
                <w:bCs w:val="false"/>
                <w:rtl/>
              </w:rPr>
              <w:t xml:space="preserve">0.329</w:t>
            </w:r>
          </w:p>
        </w:tc>
        <w:tc>
          <w:tcPr>
            <w:tcW w:type="dxa" w:w="2000"/>
          </w:tcPr>
          <w:p>
            <w:pPr>
              <w:bidi/>
              <w:jc w:val="center"/>
            </w:pPr>
            <w:r>
              <w:rPr>
                <w:rFonts w:ascii="Arial" w:cs="Arial" w:eastAsia="Arial" w:hAnsi="Arial"/>
                <w:b w:val="false"/>
                <w:bCs w:val="false"/>
                <w:rtl/>
              </w:rPr>
              <w:t xml:space="preserve">0.045</w:t>
            </w:r>
          </w:p>
        </w:tc>
        <w:tc>
          <w:tcPr>
            <w:tcW w:type="dxa" w:w="1800"/>
          </w:tcPr>
          <w:p>
            <w:pPr>
              <w:bidi/>
              <w:jc w:val="center"/>
            </w:pPr>
            <w:r>
              <w:rPr>
                <w:rFonts w:ascii="Arial" w:cs="Arial" w:eastAsia="Arial" w:hAnsi="Arial"/>
                <w:b w:val="false"/>
                <w:bCs w:val="false"/>
                <w:rtl/>
              </w:rPr>
              <w:t xml:space="preserve">2.25</w:t>
            </w:r>
          </w:p>
        </w:tc>
      </w:tr>
      <w:tr>
        <w:tc>
          <w:tcPr>
            <w:tcW w:type="dxa" w:w="2600"/>
          </w:tcPr>
          <w:p>
            <w:pPr>
              <w:bidi/>
              <w:jc w:val="center"/>
            </w:pPr>
            <w:r>
              <w:rPr>
                <w:rFonts w:ascii="Arial" w:cs="Arial" w:eastAsia="Arial" w:hAnsi="Arial"/>
                <w:b w:val="false"/>
                <w:bCs w:val="false"/>
                <w:rtl/>
              </w:rPr>
              <w:t xml:space="preserve">نماذج عنقودية</w:t>
            </w:r>
          </w:p>
        </w:tc>
        <w:tc>
          <w:tcPr>
            <w:tcW w:type="dxa" w:w="2000"/>
          </w:tcPr>
          <w:p>
            <w:pPr>
              <w:bidi/>
              <w:jc w:val="center"/>
            </w:pPr>
            <w:r>
              <w:rPr>
                <w:rFonts w:ascii="Arial" w:cs="Arial" w:eastAsia="Arial" w:hAnsi="Arial"/>
                <w:b w:val="false"/>
                <w:bCs w:val="false"/>
                <w:rtl/>
              </w:rPr>
              <w:t xml:space="preserve">0.326</w:t>
            </w:r>
          </w:p>
        </w:tc>
        <w:tc>
          <w:tcPr>
            <w:tcW w:type="dxa" w:w="2000"/>
          </w:tcPr>
          <w:p>
            <w:pPr>
              <w:bidi/>
              <w:jc w:val="center"/>
            </w:pPr>
            <w:r>
              <w:rPr>
                <w:rFonts w:ascii="Arial" w:cs="Arial" w:eastAsia="Arial" w:hAnsi="Arial"/>
                <w:b w:val="false"/>
                <w:bCs w:val="false"/>
                <w:rtl/>
              </w:rPr>
              <w:t xml:space="preserve">0.030</w:t>
            </w:r>
          </w:p>
        </w:tc>
        <w:tc>
          <w:tcPr>
            <w:tcW w:type="dxa" w:w="1800"/>
          </w:tcPr>
          <w:p>
            <w:pPr>
              <w:bidi/>
              <w:jc w:val="center"/>
            </w:pPr>
            <w:r>
              <w:rPr>
                <w:rFonts w:ascii="Arial" w:cs="Arial" w:eastAsia="Arial" w:hAnsi="Arial"/>
                <w:b w:val="false"/>
                <w:bCs w:val="false"/>
                <w:rtl/>
              </w:rPr>
              <w:t xml:space="preserve">1.25</w:t>
            </w:r>
          </w:p>
        </w:tc>
      </w:tr>
    </w:tbl>
    <w:p>
      <w:pPr>
        <w:bidi/>
        <w:spacing w:after="200"/>
        <w:jc w:val="right"/>
      </w:pPr>
      <w:r>
        <w:rPr>
          <w:rFonts w:ascii="Arial" w:cs="Arial" w:eastAsia="Arial" w:hAnsi="Arial"/>
          <w:rtl/>
        </w:rPr>
        <w:t xml:space="preserve"/>
      </w:r>
    </w:p>
    <w:p>
      <w:pPr>
        <w:pStyle w:val="Heading2"/>
        <w:bidi/>
        <w:spacing w:after="140" w:before="280"/>
        <w:jc w:val="right"/>
      </w:pPr>
      <w:r>
        <w:rPr>
          <w:rFonts w:ascii="Arial" w:cs="Arial" w:eastAsia="Arial" w:hAnsi="Arial"/>
          <w:b/>
          <w:bCs/>
          <w:rtl/>
        </w:rPr>
        <w:t xml:space="preserve">قطب V2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800"/>
      </w:tblGrid>
      <w:tr>
        <w:tc>
          <w:tcPr>
            <w:tcW w:type="dxa" w:w="2600"/>
            <w:shd w:fill="E9EEF3" w:val="clear"/>
          </w:tcPr>
          <w:p>
            <w:pPr>
              <w:bidi/>
              <w:jc w:val="center"/>
            </w:pPr>
            <w:r>
              <w:rPr>
                <w:rFonts w:ascii="Arial" w:cs="Arial" w:eastAsia="Arial" w:hAnsi="Arial"/>
                <w:b/>
                <w:bCs/>
                <w:rtl/>
              </w:rPr>
              <w:t xml:space="preserve">الطريقة</w:t>
            </w:r>
          </w:p>
        </w:tc>
        <w:tc>
          <w:tcPr>
            <w:tcW w:type="dxa" w:w="2000"/>
            <w:shd w:fill="E9EEF3" w:val="clear"/>
          </w:tcPr>
          <w:p>
            <w:pPr>
              <w:bidi/>
              <w:jc w:val="center"/>
            </w:pPr>
            <w:r>
              <w:rPr>
                <w:rFonts w:ascii="Arial" w:cs="Arial" w:eastAsia="Arial" w:hAnsi="Arial"/>
                <w:b/>
                <w:bCs/>
                <w:rtl/>
              </w:rPr>
              <w:t xml:space="preserve">Macro-F1</w:t>
            </w:r>
          </w:p>
        </w:tc>
        <w:tc>
          <w:tcPr>
            <w:tcW w:type="dxa" w:w="2000"/>
            <w:shd w:fill="E9EEF3" w:val="clear"/>
          </w:tcPr>
          <w:p>
            <w:pPr>
              <w:bidi/>
              <w:jc w:val="center"/>
            </w:pPr>
            <w:r>
              <w:rPr>
                <w:rFonts w:ascii="Arial" w:cs="Arial" w:eastAsia="Arial" w:hAnsi="Arial"/>
                <w:b/>
                <w:bCs/>
                <w:rtl/>
              </w:rPr>
              <w:t xml:space="preserve">± انحراف معياري</w:t>
            </w:r>
          </w:p>
        </w:tc>
        <w:tc>
          <w:tcPr>
            <w:tcW w:type="dxa" w:w="1800"/>
            <w:shd w:fill="E9EEF3" w:val="clear"/>
          </w:tcPr>
          <w:p>
            <w:pPr>
              <w:bidi/>
              <w:jc w:val="center"/>
            </w:pPr>
            <w:r>
              <w:rPr>
                <w:rFonts w:ascii="Arial" w:cs="Arial" w:eastAsia="Arial" w:hAnsi="Arial"/>
                <w:b/>
                <w:bCs/>
                <w:rtl/>
              </w:rPr>
              <w:t xml:space="preserve">أفضل k</w:t>
            </w:r>
          </w:p>
        </w:tc>
      </w:tr>
      <w:tr>
        <w:tc>
          <w:tcPr>
            <w:tcW w:type="dxa" w:w="2600"/>
          </w:tcPr>
          <w:p>
            <w:pPr>
              <w:bidi/>
              <w:jc w:val="center"/>
            </w:pPr>
            <w:r>
              <w:rPr>
                <w:rFonts w:ascii="Arial" w:cs="Arial" w:eastAsia="Arial" w:hAnsi="Arial"/>
                <w:b w:val="false"/>
                <w:bCs w:val="false"/>
                <w:rtl/>
              </w:rPr>
              <w:t xml:space="preserve">غابة عشوائية</w:t>
            </w:r>
          </w:p>
        </w:tc>
        <w:tc>
          <w:tcPr>
            <w:tcW w:type="dxa" w:w="2000"/>
          </w:tcPr>
          <w:p>
            <w:pPr>
              <w:bidi/>
              <w:jc w:val="center"/>
            </w:pPr>
            <w:r>
              <w:rPr>
                <w:rFonts w:ascii="Arial" w:cs="Arial" w:eastAsia="Arial" w:hAnsi="Arial"/>
                <w:b w:val="false"/>
                <w:bCs w:val="false"/>
                <w:rtl/>
              </w:rPr>
              <w:t xml:space="preserve">0.529 ★</w:t>
            </w:r>
          </w:p>
        </w:tc>
        <w:tc>
          <w:tcPr>
            <w:tcW w:type="dxa" w:w="2000"/>
          </w:tcPr>
          <w:p>
            <w:pPr>
              <w:bidi/>
              <w:jc w:val="center"/>
            </w:pPr>
            <w:r>
              <w:rPr>
                <w:rFonts w:ascii="Arial" w:cs="Arial" w:eastAsia="Arial" w:hAnsi="Arial"/>
                <w:b w:val="false"/>
                <w:bCs w:val="false"/>
                <w:rtl/>
              </w:rPr>
              <w:t xml:space="preserve">0.068</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شجرة قرار مفردة</w:t>
            </w:r>
          </w:p>
        </w:tc>
        <w:tc>
          <w:tcPr>
            <w:tcW w:type="dxa" w:w="2000"/>
          </w:tcPr>
          <w:p>
            <w:pPr>
              <w:bidi/>
              <w:jc w:val="center"/>
            </w:pPr>
            <w:r>
              <w:rPr>
                <w:rFonts w:ascii="Arial" w:cs="Arial" w:eastAsia="Arial" w:hAnsi="Arial"/>
                <w:b w:val="false"/>
                <w:bCs w:val="false"/>
                <w:rtl/>
              </w:rPr>
              <w:t xml:space="preserve">0.451</w:t>
            </w:r>
          </w:p>
        </w:tc>
        <w:tc>
          <w:tcPr>
            <w:tcW w:type="dxa" w:w="2000"/>
          </w:tcPr>
          <w:p>
            <w:pPr>
              <w:bidi/>
              <w:jc w:val="center"/>
            </w:pPr>
            <w:r>
              <w:rPr>
                <w:rFonts w:ascii="Arial" w:cs="Arial" w:eastAsia="Arial" w:hAnsi="Arial"/>
                <w:b w:val="false"/>
                <w:bCs w:val="false"/>
                <w:rtl/>
              </w:rPr>
              <w:t xml:space="preserve">0.056</w:t>
            </w:r>
          </w:p>
        </w:tc>
        <w:tc>
          <w:tcPr>
            <w:tcW w:type="dxa" w:w="1800"/>
          </w:tcPr>
          <w:p>
            <w:pPr>
              <w:bidi/>
              <w:jc w:val="center"/>
            </w:pPr>
            <w:r>
              <w:rPr>
                <w:rFonts w:ascii="Arial" w:cs="Arial" w:eastAsia="Arial" w:hAnsi="Arial"/>
                <w:b w:val="false"/>
                <w:bCs w:val="false"/>
                <w:rtl/>
              </w:rPr>
              <w:t xml:space="preserve">1.75</w:t>
            </w:r>
          </w:p>
        </w:tc>
      </w:tr>
      <w:tr>
        <w:tc>
          <w:tcPr>
            <w:tcW w:type="dxa" w:w="2600"/>
          </w:tcPr>
          <w:p>
            <w:pPr>
              <w:bidi/>
              <w:jc w:val="center"/>
            </w:pPr>
            <w:r>
              <w:rPr>
                <w:rFonts w:ascii="Arial" w:cs="Arial" w:eastAsia="Arial" w:hAnsi="Arial"/>
                <w:b w:val="false"/>
                <w:bCs w:val="false"/>
                <w:rtl/>
              </w:rPr>
              <w:t xml:space="preserve">شعاع دعم آلي (نواة RBF)</w:t>
            </w:r>
          </w:p>
        </w:tc>
        <w:tc>
          <w:tcPr>
            <w:tcW w:type="dxa" w:w="2000"/>
          </w:tcPr>
          <w:p>
            <w:pPr>
              <w:bidi/>
              <w:jc w:val="center"/>
            </w:pPr>
            <w:r>
              <w:rPr>
                <w:rFonts w:ascii="Arial" w:cs="Arial" w:eastAsia="Arial" w:hAnsi="Arial"/>
                <w:b w:val="false"/>
                <w:bCs w:val="false"/>
                <w:rtl/>
              </w:rPr>
              <w:t xml:space="preserve">0.415</w:t>
            </w:r>
          </w:p>
        </w:tc>
        <w:tc>
          <w:tcPr>
            <w:tcW w:type="dxa" w:w="2000"/>
          </w:tcPr>
          <w:p>
            <w:pPr>
              <w:bidi/>
              <w:jc w:val="center"/>
            </w:pPr>
            <w:r>
              <w:rPr>
                <w:rFonts w:ascii="Arial" w:cs="Arial" w:eastAsia="Arial" w:hAnsi="Arial"/>
                <w:b w:val="false"/>
                <w:bCs w:val="false"/>
                <w:rtl/>
              </w:rPr>
              <w:t xml:space="preserve">0.063</w:t>
            </w:r>
          </w:p>
        </w:tc>
        <w:tc>
          <w:tcPr>
            <w:tcW w:type="dxa" w:w="1800"/>
          </w:tcPr>
          <w:p>
            <w:pPr>
              <w:bidi/>
              <w:jc w:val="center"/>
            </w:pPr>
            <w:r>
              <w:rPr>
                <w:rFonts w:ascii="Arial" w:cs="Arial" w:eastAsia="Arial" w:hAnsi="Arial"/>
                <w:b w:val="false"/>
                <w:bCs w:val="false"/>
                <w:rtl/>
              </w:rPr>
              <w:t xml:space="preserve">0.75</w:t>
            </w:r>
          </w:p>
        </w:tc>
      </w:tr>
      <w:tr>
        <w:tc>
          <w:tcPr>
            <w:tcW w:type="dxa" w:w="2600"/>
          </w:tcPr>
          <w:p>
            <w:pPr>
              <w:bidi/>
              <w:jc w:val="center"/>
            </w:pPr>
            <w:r>
              <w:rPr>
                <w:rFonts w:ascii="Arial" w:cs="Arial" w:eastAsia="Arial" w:hAnsi="Arial"/>
                <w:b w:val="false"/>
                <w:bCs w:val="false"/>
                <w:rtl/>
              </w:rPr>
              <w:t xml:space="preserve">اختزال أبعاد + انحدار لوجستي</w:t>
            </w:r>
          </w:p>
        </w:tc>
        <w:tc>
          <w:tcPr>
            <w:tcW w:type="dxa" w:w="2000"/>
          </w:tcPr>
          <w:p>
            <w:pPr>
              <w:bidi/>
              <w:jc w:val="center"/>
            </w:pPr>
            <w:r>
              <w:rPr>
                <w:rFonts w:ascii="Arial" w:cs="Arial" w:eastAsia="Arial" w:hAnsi="Arial"/>
                <w:b w:val="false"/>
                <w:bCs w:val="false"/>
                <w:rtl/>
              </w:rPr>
              <w:t xml:space="preserve">0.404</w:t>
            </w:r>
          </w:p>
        </w:tc>
        <w:tc>
          <w:tcPr>
            <w:tcW w:type="dxa" w:w="2000"/>
          </w:tcPr>
          <w:p>
            <w:pPr>
              <w:bidi/>
              <w:jc w:val="center"/>
            </w:pPr>
            <w:r>
              <w:rPr>
                <w:rFonts w:ascii="Arial" w:cs="Arial" w:eastAsia="Arial" w:hAnsi="Arial"/>
                <w:b w:val="false"/>
                <w:bCs w:val="false"/>
                <w:rtl/>
              </w:rPr>
              <w:t xml:space="preserve">0.045</w:t>
            </w:r>
          </w:p>
        </w:tc>
        <w:tc>
          <w:tcPr>
            <w:tcW w:type="dxa" w:w="1800"/>
          </w:tcPr>
          <w:p>
            <w:pPr>
              <w:bidi/>
              <w:jc w:val="center"/>
            </w:pPr>
            <w:r>
              <w:rPr>
                <w:rFonts w:ascii="Arial" w:cs="Arial" w:eastAsia="Arial" w:hAnsi="Arial"/>
                <w:b w:val="false"/>
                <w:bCs w:val="false"/>
                <w:rtl/>
              </w:rPr>
              <w:t xml:space="preserve">1.75</w:t>
            </w:r>
          </w:p>
        </w:tc>
      </w:tr>
      <w:tr>
        <w:tc>
          <w:tcPr>
            <w:tcW w:type="dxa" w:w="2600"/>
          </w:tcPr>
          <w:p>
            <w:pPr>
              <w:bidi/>
              <w:jc w:val="center"/>
            </w:pPr>
            <w:r>
              <w:rPr>
                <w:rFonts w:ascii="Arial" w:cs="Arial" w:eastAsia="Arial" w:hAnsi="Arial"/>
                <w:b w:val="false"/>
                <w:bCs w:val="false"/>
                <w:rtl/>
              </w:rPr>
              <w:t xml:space="preserve">نماذج عنقودية</w:t>
            </w:r>
          </w:p>
        </w:tc>
        <w:tc>
          <w:tcPr>
            <w:tcW w:type="dxa" w:w="2000"/>
          </w:tcPr>
          <w:p>
            <w:pPr>
              <w:bidi/>
              <w:jc w:val="center"/>
            </w:pPr>
            <w:r>
              <w:rPr>
                <w:rFonts w:ascii="Arial" w:cs="Arial" w:eastAsia="Arial" w:hAnsi="Arial"/>
                <w:b w:val="false"/>
                <w:bCs w:val="false"/>
                <w:rtl/>
              </w:rPr>
              <w:t xml:space="preserve">0.369</w:t>
            </w:r>
          </w:p>
        </w:tc>
        <w:tc>
          <w:tcPr>
            <w:tcW w:type="dxa" w:w="2000"/>
          </w:tcPr>
          <w:p>
            <w:pPr>
              <w:bidi/>
              <w:jc w:val="center"/>
            </w:pPr>
            <w:r>
              <w:rPr>
                <w:rFonts w:ascii="Arial" w:cs="Arial" w:eastAsia="Arial" w:hAnsi="Arial"/>
                <w:b w:val="false"/>
                <w:bCs w:val="false"/>
                <w:rtl/>
              </w:rPr>
              <w:t xml:space="preserve">0.042</w:t>
            </w:r>
          </w:p>
        </w:tc>
        <w:tc>
          <w:tcPr>
            <w:tcW w:type="dxa" w:w="1800"/>
          </w:tcPr>
          <w:p>
            <w:pPr>
              <w:bidi/>
              <w:jc w:val="center"/>
            </w:pPr>
            <w:r>
              <w:rPr>
                <w:rFonts w:ascii="Arial" w:cs="Arial" w:eastAsia="Arial" w:hAnsi="Arial"/>
                <w:b w:val="false"/>
                <w:bCs w:val="false"/>
                <w:rtl/>
              </w:rPr>
              <w:t xml:space="preserve">2.25</w:t>
            </w:r>
          </w:p>
        </w:tc>
      </w:tr>
      <w:tr>
        <w:tc>
          <w:tcPr>
            <w:tcW w:type="dxa" w:w="2600"/>
          </w:tcPr>
          <w:p>
            <w:pPr>
              <w:bidi/>
              <w:jc w:val="center"/>
            </w:pPr>
            <w:r>
              <w:rPr>
                <w:rFonts w:ascii="Arial" w:cs="Arial" w:eastAsia="Arial" w:hAnsi="Arial"/>
                <w:b w:val="false"/>
                <w:bCs w:val="false"/>
                <w:rtl/>
              </w:rPr>
              <w:t xml:space="preserve">أقرب سنترويد</w:t>
            </w:r>
          </w:p>
        </w:tc>
        <w:tc>
          <w:tcPr>
            <w:tcW w:type="dxa" w:w="2000"/>
          </w:tcPr>
          <w:p>
            <w:pPr>
              <w:bidi/>
              <w:jc w:val="center"/>
            </w:pPr>
            <w:r>
              <w:rPr>
                <w:rFonts w:ascii="Arial" w:cs="Arial" w:eastAsia="Arial" w:hAnsi="Arial"/>
                <w:b w:val="false"/>
                <w:bCs w:val="false"/>
                <w:rtl/>
              </w:rPr>
              <w:t xml:space="preserve">0.337</w:t>
            </w:r>
          </w:p>
        </w:tc>
        <w:tc>
          <w:tcPr>
            <w:tcW w:type="dxa" w:w="2000"/>
          </w:tcPr>
          <w:p>
            <w:pPr>
              <w:bidi/>
              <w:jc w:val="center"/>
            </w:pPr>
            <w:r>
              <w:rPr>
                <w:rFonts w:ascii="Arial" w:cs="Arial" w:eastAsia="Arial" w:hAnsi="Arial"/>
                <w:b w:val="false"/>
                <w:bCs w:val="false"/>
                <w:rtl/>
              </w:rPr>
              <w:t xml:space="preserve">0.041</w:t>
            </w:r>
          </w:p>
        </w:tc>
        <w:tc>
          <w:tcPr>
            <w:tcW w:type="dxa" w:w="1800"/>
          </w:tcPr>
          <w:p>
            <w:pPr>
              <w:bidi/>
              <w:jc w:val="center"/>
            </w:pPr>
            <w:r>
              <w:rPr>
                <w:rFonts w:ascii="Arial" w:cs="Arial" w:eastAsia="Arial" w:hAnsi="Arial"/>
                <w:b w:val="false"/>
                <w:bCs w:val="false"/>
                <w:rtl/>
              </w:rPr>
              <w:t xml:space="preserve">2.25</w:t>
            </w:r>
          </w:p>
        </w:tc>
      </w:tr>
    </w:tbl>
    <w:p>
      <w:pPr>
        <w:bidi/>
        <w:spacing w:after="200"/>
        <w:jc w:val="right"/>
      </w:pPr>
      <w:r>
        <w:rPr>
          <w:rFonts w:ascii="Arial" w:cs="Arial" w:eastAsia="Arial" w:hAnsi="Arial"/>
          <w:rtl/>
        </w:rPr>
        <w:t xml:space="preserve"/>
      </w:r>
    </w:p>
    <w:p>
      <w:pPr>
        <w:pStyle w:val="Heading2"/>
        <w:bidi/>
        <w:spacing w:after="140" w:before="280"/>
        <w:jc w:val="right"/>
      </w:pPr>
      <w:r>
        <w:rPr>
          <w:rFonts w:ascii="Arial" w:cs="Arial" w:eastAsia="Arial" w:hAnsi="Arial"/>
          <w:b/>
          <w:bCs/>
          <w:rtl/>
        </w:rPr>
        <w:t xml:space="preserve">قطب V6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1800"/>
      </w:tblGrid>
      <w:tr>
        <w:tc>
          <w:tcPr>
            <w:tcW w:type="dxa" w:w="2600"/>
            <w:shd w:fill="E9EEF3" w:val="clear"/>
          </w:tcPr>
          <w:p>
            <w:pPr>
              <w:bidi/>
              <w:jc w:val="center"/>
            </w:pPr>
            <w:r>
              <w:rPr>
                <w:rFonts w:ascii="Arial" w:cs="Arial" w:eastAsia="Arial" w:hAnsi="Arial"/>
                <w:b/>
                <w:bCs/>
                <w:rtl/>
              </w:rPr>
              <w:t xml:space="preserve">الطريقة</w:t>
            </w:r>
          </w:p>
        </w:tc>
        <w:tc>
          <w:tcPr>
            <w:tcW w:type="dxa" w:w="2000"/>
            <w:shd w:fill="E9EEF3" w:val="clear"/>
          </w:tcPr>
          <w:p>
            <w:pPr>
              <w:bidi/>
              <w:jc w:val="center"/>
            </w:pPr>
            <w:r>
              <w:rPr>
                <w:rFonts w:ascii="Arial" w:cs="Arial" w:eastAsia="Arial" w:hAnsi="Arial"/>
                <w:b/>
                <w:bCs/>
                <w:rtl/>
              </w:rPr>
              <w:t xml:space="preserve">Macro-F1</w:t>
            </w:r>
          </w:p>
        </w:tc>
        <w:tc>
          <w:tcPr>
            <w:tcW w:type="dxa" w:w="2000"/>
            <w:shd w:fill="E9EEF3" w:val="clear"/>
          </w:tcPr>
          <w:p>
            <w:pPr>
              <w:bidi/>
              <w:jc w:val="center"/>
            </w:pPr>
            <w:r>
              <w:rPr>
                <w:rFonts w:ascii="Arial" w:cs="Arial" w:eastAsia="Arial" w:hAnsi="Arial"/>
                <w:b/>
                <w:bCs/>
                <w:rtl/>
              </w:rPr>
              <w:t xml:space="preserve">± انحراف معياري</w:t>
            </w:r>
          </w:p>
        </w:tc>
        <w:tc>
          <w:tcPr>
            <w:tcW w:type="dxa" w:w="1800"/>
            <w:shd w:fill="E9EEF3" w:val="clear"/>
          </w:tcPr>
          <w:p>
            <w:pPr>
              <w:bidi/>
              <w:jc w:val="center"/>
            </w:pPr>
            <w:r>
              <w:rPr>
                <w:rFonts w:ascii="Arial" w:cs="Arial" w:eastAsia="Arial" w:hAnsi="Arial"/>
                <w:b/>
                <w:bCs/>
                <w:rtl/>
              </w:rPr>
              <w:t xml:space="preserve">أفضل k</w:t>
            </w:r>
          </w:p>
        </w:tc>
      </w:tr>
      <w:tr>
        <w:tc>
          <w:tcPr>
            <w:tcW w:type="dxa" w:w="2600"/>
          </w:tcPr>
          <w:p>
            <w:pPr>
              <w:bidi/>
              <w:jc w:val="center"/>
            </w:pPr>
            <w:r>
              <w:rPr>
                <w:rFonts w:ascii="Arial" w:cs="Arial" w:eastAsia="Arial" w:hAnsi="Arial"/>
                <w:b w:val="false"/>
                <w:bCs w:val="false"/>
                <w:rtl/>
              </w:rPr>
              <w:t xml:space="preserve">غابة عشوائية</w:t>
            </w:r>
          </w:p>
        </w:tc>
        <w:tc>
          <w:tcPr>
            <w:tcW w:type="dxa" w:w="2000"/>
          </w:tcPr>
          <w:p>
            <w:pPr>
              <w:bidi/>
              <w:jc w:val="center"/>
            </w:pPr>
            <w:r>
              <w:rPr>
                <w:rFonts w:ascii="Arial" w:cs="Arial" w:eastAsia="Arial" w:hAnsi="Arial"/>
                <w:b w:val="false"/>
                <w:bCs w:val="false"/>
                <w:rtl/>
              </w:rPr>
              <w:t xml:space="preserve">0.432 ★</w:t>
            </w:r>
          </w:p>
        </w:tc>
        <w:tc>
          <w:tcPr>
            <w:tcW w:type="dxa" w:w="2000"/>
          </w:tcPr>
          <w:p>
            <w:pPr>
              <w:bidi/>
              <w:jc w:val="center"/>
            </w:pPr>
            <w:r>
              <w:rPr>
                <w:rFonts w:ascii="Arial" w:cs="Arial" w:eastAsia="Arial" w:hAnsi="Arial"/>
                <w:b w:val="false"/>
                <w:bCs w:val="false"/>
                <w:rtl/>
              </w:rPr>
              <w:t xml:space="preserve">0.020</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شعاع دعم آلي (نواة RBF)</w:t>
            </w:r>
          </w:p>
        </w:tc>
        <w:tc>
          <w:tcPr>
            <w:tcW w:type="dxa" w:w="2000"/>
          </w:tcPr>
          <w:p>
            <w:pPr>
              <w:bidi/>
              <w:jc w:val="center"/>
            </w:pPr>
            <w:r>
              <w:rPr>
                <w:rFonts w:ascii="Arial" w:cs="Arial" w:eastAsia="Arial" w:hAnsi="Arial"/>
                <w:b w:val="false"/>
                <w:bCs w:val="false"/>
                <w:rtl/>
              </w:rPr>
              <w:t xml:space="preserve">0.415</w:t>
            </w:r>
          </w:p>
        </w:tc>
        <w:tc>
          <w:tcPr>
            <w:tcW w:type="dxa" w:w="2000"/>
          </w:tcPr>
          <w:p>
            <w:pPr>
              <w:bidi/>
              <w:jc w:val="center"/>
            </w:pPr>
            <w:r>
              <w:rPr>
                <w:rFonts w:ascii="Arial" w:cs="Arial" w:eastAsia="Arial" w:hAnsi="Arial"/>
                <w:b w:val="false"/>
                <w:bCs w:val="false"/>
                <w:rtl/>
              </w:rPr>
              <w:t xml:space="preserve">0.011</w:t>
            </w:r>
          </w:p>
        </w:tc>
        <w:tc>
          <w:tcPr>
            <w:tcW w:type="dxa" w:w="1800"/>
          </w:tcPr>
          <w:p>
            <w:pPr>
              <w:bidi/>
              <w:jc w:val="center"/>
            </w:pPr>
            <w:r>
              <w:rPr>
                <w:rFonts w:ascii="Arial" w:cs="Arial" w:eastAsia="Arial" w:hAnsi="Arial"/>
                <w:b w:val="false"/>
                <w:bCs w:val="false"/>
                <w:rtl/>
              </w:rPr>
              <w:t xml:space="preserve">0.75</w:t>
            </w:r>
          </w:p>
        </w:tc>
      </w:tr>
      <w:tr>
        <w:tc>
          <w:tcPr>
            <w:tcW w:type="dxa" w:w="2600"/>
          </w:tcPr>
          <w:p>
            <w:pPr>
              <w:bidi/>
              <w:jc w:val="center"/>
            </w:pPr>
            <w:r>
              <w:rPr>
                <w:rFonts w:ascii="Arial" w:cs="Arial" w:eastAsia="Arial" w:hAnsi="Arial"/>
                <w:b w:val="false"/>
                <w:bCs w:val="false"/>
                <w:rtl/>
              </w:rPr>
              <w:t xml:space="preserve">شجرة قرار مفردة</w:t>
            </w:r>
          </w:p>
        </w:tc>
        <w:tc>
          <w:tcPr>
            <w:tcW w:type="dxa" w:w="2000"/>
          </w:tcPr>
          <w:p>
            <w:pPr>
              <w:bidi/>
              <w:jc w:val="center"/>
            </w:pPr>
            <w:r>
              <w:rPr>
                <w:rFonts w:ascii="Arial" w:cs="Arial" w:eastAsia="Arial" w:hAnsi="Arial"/>
                <w:b w:val="false"/>
                <w:bCs w:val="false"/>
                <w:rtl/>
              </w:rPr>
              <w:t xml:space="preserve">0.393</w:t>
            </w:r>
          </w:p>
        </w:tc>
        <w:tc>
          <w:tcPr>
            <w:tcW w:type="dxa" w:w="2000"/>
          </w:tcPr>
          <w:p>
            <w:pPr>
              <w:bidi/>
              <w:jc w:val="center"/>
            </w:pPr>
            <w:r>
              <w:rPr>
                <w:rFonts w:ascii="Arial" w:cs="Arial" w:eastAsia="Arial" w:hAnsi="Arial"/>
                <w:b w:val="false"/>
                <w:bCs w:val="false"/>
                <w:rtl/>
              </w:rPr>
              <w:t xml:space="preserve">0.044</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اختزال أبعاد + انحدار لوجستي</w:t>
            </w:r>
          </w:p>
        </w:tc>
        <w:tc>
          <w:tcPr>
            <w:tcW w:type="dxa" w:w="2000"/>
          </w:tcPr>
          <w:p>
            <w:pPr>
              <w:bidi/>
              <w:jc w:val="center"/>
            </w:pPr>
            <w:r>
              <w:rPr>
                <w:rFonts w:ascii="Arial" w:cs="Arial" w:eastAsia="Arial" w:hAnsi="Arial"/>
                <w:b w:val="false"/>
                <w:bCs w:val="false"/>
                <w:rtl/>
              </w:rPr>
              <w:t xml:space="preserve">0.371</w:t>
            </w:r>
          </w:p>
        </w:tc>
        <w:tc>
          <w:tcPr>
            <w:tcW w:type="dxa" w:w="2000"/>
          </w:tcPr>
          <w:p>
            <w:pPr>
              <w:bidi/>
              <w:jc w:val="center"/>
            </w:pPr>
            <w:r>
              <w:rPr>
                <w:rFonts w:ascii="Arial" w:cs="Arial" w:eastAsia="Arial" w:hAnsi="Arial"/>
                <w:b w:val="false"/>
                <w:bCs w:val="false"/>
                <w:rtl/>
              </w:rPr>
              <w:t xml:space="preserve">0.015</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نماذج عنقودية</w:t>
            </w:r>
          </w:p>
        </w:tc>
        <w:tc>
          <w:tcPr>
            <w:tcW w:type="dxa" w:w="2000"/>
          </w:tcPr>
          <w:p>
            <w:pPr>
              <w:bidi/>
              <w:jc w:val="center"/>
            </w:pPr>
            <w:r>
              <w:rPr>
                <w:rFonts w:ascii="Arial" w:cs="Arial" w:eastAsia="Arial" w:hAnsi="Arial"/>
                <w:b w:val="false"/>
                <w:bCs w:val="false"/>
                <w:rtl/>
              </w:rPr>
              <w:t xml:space="preserve">0.347</w:t>
            </w:r>
          </w:p>
        </w:tc>
        <w:tc>
          <w:tcPr>
            <w:tcW w:type="dxa" w:w="2000"/>
          </w:tcPr>
          <w:p>
            <w:pPr>
              <w:bidi/>
              <w:jc w:val="center"/>
            </w:pPr>
            <w:r>
              <w:rPr>
                <w:rFonts w:ascii="Arial" w:cs="Arial" w:eastAsia="Arial" w:hAnsi="Arial"/>
                <w:b w:val="false"/>
                <w:bCs w:val="false"/>
                <w:rtl/>
              </w:rPr>
              <w:t xml:space="preserve">0.025</w:t>
            </w:r>
          </w:p>
        </w:tc>
        <w:tc>
          <w:tcPr>
            <w:tcW w:type="dxa" w:w="1800"/>
          </w:tcPr>
          <w:p>
            <w:pPr>
              <w:bidi/>
              <w:jc w:val="center"/>
            </w:pPr>
            <w:r>
              <w:rPr>
                <w:rFonts w:ascii="Arial" w:cs="Arial" w:eastAsia="Arial" w:hAnsi="Arial"/>
                <w:b w:val="false"/>
                <w:bCs w:val="false"/>
                <w:rtl/>
              </w:rPr>
              <w:t xml:space="preserve">1.25</w:t>
            </w:r>
          </w:p>
        </w:tc>
      </w:tr>
      <w:tr>
        <w:tc>
          <w:tcPr>
            <w:tcW w:type="dxa" w:w="2600"/>
          </w:tcPr>
          <w:p>
            <w:pPr>
              <w:bidi/>
              <w:jc w:val="center"/>
            </w:pPr>
            <w:r>
              <w:rPr>
                <w:rFonts w:ascii="Arial" w:cs="Arial" w:eastAsia="Arial" w:hAnsi="Arial"/>
                <w:b w:val="false"/>
                <w:bCs w:val="false"/>
                <w:rtl/>
              </w:rPr>
              <w:t xml:space="preserve">أقرب سنترويد</w:t>
            </w:r>
          </w:p>
        </w:tc>
        <w:tc>
          <w:tcPr>
            <w:tcW w:type="dxa" w:w="2000"/>
          </w:tcPr>
          <w:p>
            <w:pPr>
              <w:bidi/>
              <w:jc w:val="center"/>
            </w:pPr>
            <w:r>
              <w:rPr>
                <w:rFonts w:ascii="Arial" w:cs="Arial" w:eastAsia="Arial" w:hAnsi="Arial"/>
                <w:b w:val="false"/>
                <w:bCs w:val="false"/>
                <w:rtl/>
              </w:rPr>
              <w:t xml:space="preserve">0.325</w:t>
            </w:r>
          </w:p>
        </w:tc>
        <w:tc>
          <w:tcPr>
            <w:tcW w:type="dxa" w:w="2000"/>
          </w:tcPr>
          <w:p>
            <w:pPr>
              <w:bidi/>
              <w:jc w:val="center"/>
            </w:pPr>
            <w:r>
              <w:rPr>
                <w:rFonts w:ascii="Arial" w:cs="Arial" w:eastAsia="Arial" w:hAnsi="Arial"/>
                <w:b w:val="false"/>
                <w:bCs w:val="false"/>
                <w:rtl/>
              </w:rPr>
              <w:t xml:space="preserve">0.024</w:t>
            </w:r>
          </w:p>
        </w:tc>
        <w:tc>
          <w:tcPr>
            <w:tcW w:type="dxa" w:w="1800"/>
          </w:tcPr>
          <w:p>
            <w:pPr>
              <w:bidi/>
              <w:jc w:val="center"/>
            </w:pPr>
            <w:r>
              <w:rPr>
                <w:rFonts w:ascii="Arial" w:cs="Arial" w:eastAsia="Arial" w:hAnsi="Arial"/>
                <w:b w:val="false"/>
                <w:bCs w:val="false"/>
                <w:rtl/>
              </w:rPr>
              <w:t xml:space="preserve">1.75</w:t>
            </w:r>
          </w:p>
        </w:tc>
      </w:tr>
    </w:tbl>
    <w:p>
      <w:r>
        <w:br w:type="page"/>
      </w:r>
    </w:p>
    <w:p>
      <w:pPr>
        <w:pStyle w:val="Heading2"/>
        <w:bidi/>
        <w:spacing w:after="140" w:before="280"/>
        <w:jc w:val="right"/>
      </w:pPr>
      <w:r>
        <w:rPr>
          <w:rFonts w:ascii="Arial" w:cs="Arial" w:eastAsia="Arial" w:hAnsi="Arial"/>
          <w:b/>
          <w:bCs/>
          <w:rtl/>
        </w:rPr>
        <w:t xml:space="preserve">الترتيب العام (متوسط الأداء عبر الأقطاب الأربعة)</w:t>
      </w:r>
    </w:p>
    <w:p>
      <w:pPr>
        <w:bidi/>
        <w:spacing w:after="160"/>
        <w:jc w:val="right"/>
      </w:pPr>
      <w:r>
        <w:rPr>
          <w:rFonts w:ascii="Arial" w:cs="Arial" w:eastAsia="Arial" w:hAnsi="Arial"/>
          <w:rtl/>
        </w:rPr>
        <w:t xml:space="preserve">1. غابة عشوائية (Random Forest) — متوسط Macro-F1 = 0.419</w:t>
      </w:r>
    </w:p>
    <w:p>
      <w:pPr>
        <w:bidi/>
        <w:spacing w:after="160"/>
        <w:jc w:val="right"/>
      </w:pPr>
      <w:r>
        <w:rPr>
          <w:rFonts w:ascii="Arial" w:cs="Arial" w:eastAsia="Arial" w:hAnsi="Arial"/>
          <w:rtl/>
        </w:rPr>
        <w:t xml:space="preserve">2. شعاع الدعم الآلي (SVM، نواة RBF) — متوسط Macro-F1 = 0.378</w:t>
      </w:r>
    </w:p>
    <w:p>
      <w:pPr>
        <w:bidi/>
        <w:spacing w:after="160"/>
        <w:jc w:val="right"/>
      </w:pPr>
      <w:r>
        <w:rPr>
          <w:rFonts w:ascii="Arial" w:cs="Arial" w:eastAsia="Arial" w:hAnsi="Arial"/>
          <w:rtl/>
        </w:rPr>
        <w:t xml:space="preserve">3. شجرة قرار مفردة (Decision Tree) — متوسط Macro-F1 = 0.372</w:t>
      </w:r>
    </w:p>
    <w:p>
      <w:pPr>
        <w:bidi/>
        <w:spacing w:after="160"/>
        <w:jc w:val="right"/>
      </w:pPr>
      <w:r>
        <w:rPr>
          <w:rFonts w:ascii="Arial" w:cs="Arial" w:eastAsia="Arial" w:hAnsi="Arial"/>
          <w:rtl/>
        </w:rPr>
        <w:t xml:space="preserve">4. اختزال أبعاد + انحدار لوجستي (PCA+LogReg) — متوسط Macro-F1 = 0.350</w:t>
      </w:r>
    </w:p>
    <w:p>
      <w:pPr>
        <w:bidi/>
        <w:spacing w:after="160"/>
        <w:jc w:val="right"/>
      </w:pPr>
      <w:r>
        <w:rPr>
          <w:rFonts w:ascii="Arial" w:cs="Arial" w:eastAsia="Arial" w:hAnsi="Arial"/>
          <w:rtl/>
        </w:rPr>
        <w:t xml:space="preserve">5. نماذج عنقودية (K-Means Prototypes) — متوسط Macro-F1 = 0.327</w:t>
      </w:r>
    </w:p>
    <w:p>
      <w:pPr>
        <w:bidi/>
        <w:spacing w:after="160"/>
        <w:jc w:val="right"/>
      </w:pPr>
      <w:r>
        <w:rPr>
          <w:rFonts w:ascii="Arial" w:cs="Arial" w:eastAsia="Arial" w:hAnsi="Arial"/>
          <w:rtl/>
        </w:rPr>
        <w:t xml:space="preserve">6. أقرب سنترويد (Nearest Centroid) — متوسط Macro-F1 = 0.309</w:t>
      </w:r>
    </w:p>
    <w:p>
      <w:pPr>
        <w:bidi/>
        <w:spacing w:after="100" w:before="30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33700"/>
                    </a:xfrm>
                    <a:prstGeom prst="rect">
                      <a:avLst/>
                    </a:prstGeom>
                  </pic:spPr>
                </pic:pic>
              </a:graphicData>
            </a:graphic>
          </wp:inline>
        </w:drawing>
      </w:r>
    </w:p>
    <w:p>
      <w:pPr>
        <w:bidi/>
        <w:spacing w:after="160"/>
        <w:jc w:val="center"/>
      </w:pPr>
      <w:r>
        <w:rPr>
          <w:rFonts w:ascii="Arial" w:cs="Arial" w:eastAsia="Arial" w:hAnsi="Arial"/>
          <w:i/>
          <w:iCs/>
          <w:sz w:val="18"/>
          <w:szCs w:val="18"/>
          <w:rtl/>
        </w:rPr>
        <w:t xml:space="preserve">شكل 1: مقارنة Macro-F1 (أفضل k) لكل طريقة عبر الأقطاب الأربعة.</w:t>
      </w:r>
    </w:p>
    <w:p>
      <w:r>
        <w:br w:type="page"/>
      </w:r>
    </w:p>
    <w:p>
      <w:pPr>
        <w:pStyle w:val="Heading1"/>
        <w:bidi/>
        <w:spacing w:after="140" w:before="280"/>
        <w:jc w:val="right"/>
      </w:pPr>
      <w:r>
        <w:rPr>
          <w:rFonts w:ascii="Arial" w:cs="Arial" w:eastAsia="Arial" w:hAnsi="Arial"/>
          <w:b/>
          <w:bCs/>
          <w:rtl/>
        </w:rPr>
        <w:t xml:space="preserve">4. المناقشة</w:t>
      </w:r>
    </w:p>
    <w:p>
      <w:pPr>
        <w:bidi/>
        <w:spacing w:after="160"/>
        <w:jc w:val="right"/>
      </w:pPr>
      <w:r>
        <w:rPr>
          <w:rFonts w:ascii="Arial" w:cs="Arial" w:eastAsia="Arial" w:hAnsi="Arial"/>
          <w:b/>
          <w:bCs/>
          <w:rtl/>
        </w:rPr>
        <w:t xml:space="preserve">4.1 Random Forest يتفوّق باستمرار وبفارق واضح</w:t>
      </w:r>
    </w:p>
    <w:p>
      <w:pPr>
        <w:bidi/>
        <w:spacing w:after="160"/>
        <w:jc w:val="right"/>
      </w:pPr>
      <w:r>
        <w:rPr>
          <w:rFonts w:ascii="Arial" w:cs="Arial" w:eastAsia="Arial" w:hAnsi="Arial"/>
          <w:rtl/>
        </w:rPr>
        <w:t xml:space="preserve">Random Forest حقّق أفضل نتيجة على كل الأقطاب الأربعة بلا استثناء، وبفارق يتجاوز التذبذب الطبيعي بين الطيّات (الانحراف المعياري) في معظم الحالات — الأوضح بقطب V2، حيث تفوّق بأكثر من 7.5 نقطة مئوية على أقرب منافس (شجرة القرار المفردة). هذا يؤكد نتيجة التجربة السابقة (أقرب سنترويد ضد Random Forest) ويوسّعها: التفوّق ليس خاصاً بمقارنة سنترويد فقط، بل Random Forest أفضل من كل الطرق الخمس الأخرى المجرَّبة هنا معاً.</w:t>
      </w:r>
    </w:p>
    <w:p>
      <w:pPr>
        <w:bidi/>
        <w:spacing w:after="160"/>
        <w:jc w:val="right"/>
      </w:pPr>
      <w:r>
        <w:rPr>
          <w:rFonts w:ascii="Arial" w:cs="Arial" w:eastAsia="Arial" w:hAnsi="Arial"/>
          <w:b/>
          <w:bCs/>
          <w:rtl/>
        </w:rPr>
        <w:t xml:space="preserve">4.2 شعاع الدعم الآلي (SVM) ثاني أفضل عموماً، لا شجرة القرار</w:t>
      </w:r>
    </w:p>
    <w:p>
      <w:pPr>
        <w:bidi/>
        <w:spacing w:after="160"/>
        <w:jc w:val="right"/>
      </w:pPr>
      <w:r>
        <w:rPr>
          <w:rFonts w:ascii="Arial" w:cs="Arial" w:eastAsia="Arial" w:hAnsi="Arial"/>
          <w:rtl/>
        </w:rPr>
        <w:t xml:space="preserve">بالمتوسط عبر الأقطاب، SVM_RBF جاء ثانياً، يليه شجرة القرار المفردة ثم PCA+LogReg. هذا الترتيب منطقي: SVM بنواة RBF قادر على التقاط حدود قرار غير خطية معقدة (كما Random Forest)، بينما شجرة القرار المفردة (رغم كونها "مكوِّن" Random Forest نفسه) تعاني من التباين العالي (Variance) بلا فائدة التجميع (Averaging) عبر عدة أشجار — وهذا يفسّر لماذا Random Forest أفضل من مكوِّنه المفرد بفارق ملحوظ بكل الأقطاب تقريباً.</w:t>
      </w:r>
    </w:p>
    <w:p>
      <w:pPr>
        <w:bidi/>
        <w:spacing w:after="160"/>
        <w:jc w:val="right"/>
      </w:pPr>
      <w:r>
        <w:rPr>
          <w:rFonts w:ascii="Arial" w:cs="Arial" w:eastAsia="Arial" w:hAnsi="Arial"/>
          <w:b/>
          <w:bCs/>
          <w:rtl/>
        </w:rPr>
        <w:t xml:space="preserve">4.3 الطرق القائمة على السنترويد (البسيطة) الأضعف باستمرار</w:t>
      </w:r>
    </w:p>
    <w:p>
      <w:pPr>
        <w:bidi/>
        <w:spacing w:after="160"/>
        <w:jc w:val="right"/>
      </w:pPr>
      <w:r>
        <w:rPr>
          <w:rFonts w:ascii="Arial" w:cs="Arial" w:eastAsia="Arial" w:hAnsi="Arial"/>
          <w:b w:val="false"/>
          <w:bCs w:val="false"/>
          <w:rtl/>
        </w:rPr>
        <w:t xml:space="preserve">أقرب سنترويد جاء الأضعف على 3 من 4 أقطاب، والنماذج العنقودية (تعميمه بعدة نماذج/فئة) تحسّنت قليلاً عليه لكنها بقيت دون باقي الطرق. هذا يشير إلى أن التمييز بين الفئات المرضية </w:t>
      </w:r>
      <w:r>
        <w:rPr>
          <w:rFonts w:ascii="Arial" w:cs="Arial" w:eastAsia="Arial" w:hAnsi="Arial"/>
          <w:b/>
          <w:bCs/>
          <w:rtl/>
        </w:rPr>
        <w:t xml:space="preserve">ليس مجرد إزاحة بسيطة لمركز الكتلة</w:t>
      </w:r>
      <w:r>
        <w:rPr>
          <w:rFonts w:ascii="Arial" w:cs="Arial" w:eastAsia="Arial" w:hAnsi="Arial"/>
          <w:b w:val="false"/>
          <w:bCs w:val="false"/>
          <w:rtl/>
        </w:rPr>
        <w:t xml:space="preserve"> (كما تفترض طريقة السنترويد)، بل يعتمد على تفاعلات أدق بين مواضع مختلفة بالنبضة — وهو بالضبط نوع النمط الذي تلتقطه نماذج الأشجار/الحدود غير الخطية بشكل أفضل من مسافة إقليدية مباشرة.</w:t>
      </w:r>
    </w:p>
    <w:p>
      <w:pPr>
        <w:bidi/>
        <w:spacing w:after="160"/>
        <w:jc w:val="right"/>
      </w:pPr>
      <w:r>
        <w:rPr>
          <w:rFonts w:ascii="Arial" w:cs="Arial" w:eastAsia="Arial" w:hAnsi="Arial"/>
          <w:b/>
          <w:bCs/>
          <w:rtl/>
        </w:rPr>
        <w:t xml:space="preserve">4.4 اختزال الأبعاد لم يحلّ المشكلة</w:t>
      </w:r>
    </w:p>
    <w:p>
      <w:pPr>
        <w:bidi/>
        <w:spacing w:after="160"/>
        <w:jc w:val="right"/>
      </w:pPr>
      <w:r>
        <w:rPr>
          <w:rFonts w:ascii="Arial" w:cs="Arial" w:eastAsia="Arial" w:hAnsi="Arial"/>
          <w:b w:val="false"/>
          <w:bCs w:val="false"/>
          <w:rtl/>
        </w:rPr>
        <w:t xml:space="preserve">PCA+LogReg تحسّن مقارنة بأقرب سنترويد والنماذج العنقودية، لكنه بقي دون Random Forest وSVM بكل الأقطاب. هذا يشير إلى أن "لعنة الأبعاد" (400 نقطة خام) </w:t>
      </w:r>
      <w:r>
        <w:rPr>
          <w:rFonts w:ascii="Arial" w:cs="Arial" w:eastAsia="Arial" w:hAnsi="Arial"/>
          <w:b/>
          <w:bCs/>
          <w:rtl/>
        </w:rPr>
        <w:t xml:space="preserve">ليست</w:t>
      </w:r>
      <w:r>
        <w:rPr>
          <w:rFonts w:ascii="Arial" w:cs="Arial" w:eastAsia="Arial" w:hAnsi="Arial"/>
          <w:b w:val="false"/>
          <w:bCs w:val="false"/>
          <w:rtl/>
        </w:rPr>
        <w:t xml:space="preserve"> السبب الرئيسي وراء الفجوة — فحتى بعد تقليل الأبعاد، النموذج الخطي البسيط لم يتفوّق على النماذج غير الخطية. المشكلة الأعمق تبدو متعلقة بطبيعة العلاقة نفسها (غير خطية) لا بعدد الأبعاد.</w:t>
      </w:r>
    </w:p>
    <w:p>
      <w:pPr>
        <w:bidi/>
        <w:spacing w:after="160"/>
        <w:jc w:val="right"/>
      </w:pPr>
      <w:r>
        <w:rPr>
          <w:rFonts w:ascii="Arial" w:cs="Arial" w:eastAsia="Arial" w:hAnsi="Arial"/>
          <w:b/>
          <w:bCs/>
          <w:rtl/>
        </w:rPr>
        <w:t xml:space="preserve">4.5 الملاحظة الأهم: حتى أفضل طريقة تبقى بدقة متواضعة</w:t>
      </w:r>
    </w:p>
    <w:p>
      <w:pPr>
        <w:bidi/>
        <w:spacing w:after="160"/>
        <w:jc w:val="right"/>
      </w:pPr>
      <w:r>
        <w:rPr>
          <w:rFonts w:ascii="Arial" w:cs="Arial" w:eastAsia="Arial" w:hAnsi="Arial"/>
          <w:b w:val="false"/>
          <w:bCs w:val="false"/>
          <w:rtl/>
        </w:rPr>
        <w:t xml:space="preserve">رغم تفوّق Random Forest بوضوح على باقي الطرق، أفضل نتيجة له (52.9% على V2) لا تزال بعيدة عن مستوى موثوقية كافٍ للاعتماد الطبي المستقل. هذا يتطابق مع خلاصة التجربة السابقة: </w:t>
      </w:r>
      <w:r>
        <w:rPr>
          <w:rFonts w:ascii="Arial" w:cs="Arial" w:eastAsia="Arial" w:hAnsi="Arial"/>
          <w:b/>
          <w:bCs/>
          <w:rtl/>
        </w:rPr>
        <w:t xml:space="preserve">اختيار خوارزمية التصنيف ليس نقطة الاختناق الرئيسية</w:t>
      </w:r>
      <w:r>
        <w:rPr>
          <w:rFonts w:ascii="Arial" w:cs="Arial" w:eastAsia="Arial" w:hAnsi="Arial"/>
          <w:b w:val="false"/>
          <w:bCs w:val="false"/>
          <w:rtl/>
        </w:rPr>
        <w:t xml:space="preserve"> بهذي المسألة — فحتى أقوى ست طرق مجرَّبة هنا معاً لم تتجاوز هذا السقف. الاحتمال الأرجح أن الفجوة تعود لحجم بيانات التدريب المحدود نسبياً (خصوصاً للفئات النادرة مثل A وIPL) و/أو حاجة لهندسة ميزات أغنى من قيمة الجهد الخام بعد Stemming فقط.</w:t>
      </w:r>
    </w:p>
    <w:p>
      <w:pPr>
        <w:pStyle w:val="Heading1"/>
        <w:bidi/>
        <w:spacing w:after="140" w:before="280"/>
        <w:jc w:val="right"/>
      </w:pPr>
      <w:r>
        <w:rPr>
          <w:rFonts w:ascii="Arial" w:cs="Arial" w:eastAsia="Arial" w:hAnsi="Arial"/>
          <w:b/>
          <w:bCs/>
          <w:rtl/>
        </w:rPr>
        <w:t xml:space="preserve">5. القيود</w:t>
      </w:r>
    </w:p>
    <w:p>
      <w:pPr>
        <w:bidi/>
        <w:spacing w:after="160"/>
        <w:jc w:val="right"/>
      </w:pPr>
      <w:r>
        <w:rPr>
          <w:rFonts w:ascii="Arial" w:cs="Arial" w:eastAsia="Arial" w:hAnsi="Arial"/>
          <w:rtl/>
        </w:rPr>
        <w:t xml:space="preserve">• شبكة k المُمسوحة هنا (5 قيم) أضيق من التجربة الثنائية السابقة (10 قيم)، لضبط وقت التشغيل على بيئة حوسبة مجانية محدودة — احتمال وجود k أفضل خارج هذي الشبكة لم يُستبعَد كلياً.</w:t>
      </w:r>
    </w:p>
    <w:p>
      <w:pPr>
        <w:bidi/>
        <w:spacing w:after="160"/>
        <w:jc w:val="right"/>
      </w:pPr>
      <w:r>
        <w:rPr>
          <w:rFonts w:ascii="Arial" w:cs="Arial" w:eastAsia="Arial" w:hAnsi="Arial"/>
          <w:rtl/>
        </w:rPr>
        <w:t xml:space="preserve">• لم يُطبَّق ترجيح IDF/الاختصاص الواعي بالموضع (المستخدم فعلياً بنموذج الإنتاج) على أي من الطرق الست هنا، بهدف عزل أثر المصنِّف نفسه. من المحتمل أن إضافة هذا الترجيح تحديداً لـRandom Forest أو SVM يحسّن النتائج أكثر مما تعكسه هذي التجربة المجرَّدة.</w:t>
      </w:r>
    </w:p>
    <w:p>
      <w:pPr>
        <w:bidi/>
        <w:spacing w:after="160"/>
        <w:jc w:val="right"/>
      </w:pPr>
      <w:r>
        <w:rPr>
          <w:rFonts w:ascii="Arial" w:cs="Arial" w:eastAsia="Arial" w:hAnsi="Arial"/>
          <w:rtl/>
        </w:rPr>
        <w:t xml:space="preserve">• إعدادات كل مصنِّف (مثل عدد الأشجار، معامل C وgamma بـSVM، عدد العناقيد) استُخدِمت بقيم افتراضية معقولة بلا ضبط دقيق مخصَّص (Hyperparameter Tuning) مستقل لكل طريقة — من الممكن أن تتغيّر النتائج النسبية قليلاً بعد ضبط دقيق شامل.</w:t>
      </w:r>
    </w:p>
    <w:p>
      <w:pPr>
        <w:bidi/>
        <w:spacing w:after="160"/>
        <w:jc w:val="right"/>
      </w:pPr>
      <w:r>
        <w:rPr>
          <w:rFonts w:ascii="Arial" w:cs="Arial" w:eastAsia="Arial" w:hAnsi="Arial"/>
          <w:rtl/>
        </w:rPr>
        <w:t xml:space="preserve">• العيّنة (492 مريضاً) لا تزال محدودة نسبياً لتعميم إحصائي قوي، خصوصاً للفئات المرضية النادرة (A وIPL تحديداً، بعدد مرضى أقل بكثير من Normal وAS).</w:t>
      </w:r>
    </w:p>
    <w:p>
      <w:pPr>
        <w:pStyle w:val="Heading1"/>
        <w:bidi/>
        <w:spacing w:after="140" w:before="280"/>
        <w:jc w:val="right"/>
      </w:pPr>
      <w:r>
        <w:rPr>
          <w:rFonts w:ascii="Arial" w:cs="Arial" w:eastAsia="Arial" w:hAnsi="Arial"/>
          <w:b/>
          <w:bCs/>
          <w:rtl/>
        </w:rPr>
        <w:t xml:space="preserve">6. الخلاصة والتوصية</w:t>
      </w:r>
    </w:p>
    <w:p>
      <w:pPr>
        <w:bidi/>
        <w:spacing w:after="160"/>
        <w:jc w:val="right"/>
      </w:pPr>
      <w:r>
        <w:rPr>
          <w:rFonts w:ascii="Arial" w:cs="Arial" w:eastAsia="Arial" w:hAnsi="Arial"/>
          <w:rtl/>
        </w:rPr>
        <w:t xml:space="preserve">النتيجة الأساسية واضحة: Random Forest يبقى الخيار الأنسب من بين الطرق الست المجرَّبة، وهذا يؤكد القرار السابق بالإبقاء عليه بالنموذج المنشور. لكن الفجوة الحقيقية بالمشروع ليست باختيار خوارزمية التصنيف — بل بحاجة بيانات تدريب أوسع، وربما استخراج ميزات أغنى (مثل دمج معلومات ST-T بشكل صريح، أو استخدام تمثيلات تعلّم عميق مباشرة من الإشارة الخام بدل Stemming يدوي) كخطوة بحثية قادمة.</w:t>
      </w:r>
    </w:p>
    <w:p>
      <w:pPr>
        <w:pStyle w:val="Heading1"/>
        <w:bidi/>
        <w:spacing w:after="140" w:before="280"/>
        <w:jc w:val="right"/>
      </w:pPr>
      <w:r>
        <w:rPr>
          <w:rFonts w:ascii="Arial" w:cs="Arial" w:eastAsia="Arial" w:hAnsi="Arial"/>
          <w:b/>
          <w:bCs/>
          <w:rtl/>
        </w:rPr>
        <w:t xml:space="preserve">المراجع</w:t>
      </w:r>
    </w:p>
    <w:p>
      <w:pPr>
        <w:bidi/>
        <w:spacing w:after="160"/>
        <w:jc w:val="right"/>
      </w:pPr>
      <w:r>
        <w:rPr>
          <w:rFonts w:ascii="Arial" w:cs="Arial" w:eastAsia="Arial" w:hAnsi="Arial"/>
          <w:rtl/>
        </w:rPr>
        <w:t xml:space="preserve">Bousseljot R, Kreiseler D, Schnabel A. Nutzung der EKG-Signaldatenbank CARDIODAT der PTB über das Internet. Biomedizinische Technik. 1995;40(s1):317.</w:t>
      </w:r>
    </w:p>
    <w:p>
      <w:pPr>
        <w:bidi/>
        <w:spacing w:after="160"/>
        <w:jc w:val="right"/>
      </w:pPr>
      <w:r>
        <w:rPr>
          <w:rFonts w:ascii="Arial" w:cs="Arial" w:eastAsia="Arial" w:hAnsi="Arial"/>
          <w:rtl/>
        </w:rPr>
        <w:t xml:space="preserve">Goldberger AL, et al. PhysioBank, PhysioToolkit, and PhysioNet. Circulation. 2000;101(23):e215-e220.</w:t>
      </w:r>
    </w:p>
    <w:p>
      <w:pPr>
        <w:bidi/>
        <w:spacing w:after="160"/>
        <w:jc w:val="right"/>
      </w:pPr>
      <w:r>
        <w:rPr>
          <w:rFonts w:ascii="Arial" w:cs="Arial" w:eastAsia="Arial" w:hAnsi="Arial"/>
          <w:rtl/>
        </w:rPr>
        <w:t xml:space="preserve">PTB-XL: A large publicly available electrocardiography dataset — physionet.org/content/ptb-xl</w:t>
      </w:r>
    </w:p>
    <w:p>
      <w:pPr>
        <w:bidi/>
        <w:spacing w:after="160"/>
        <w:jc w:val="right"/>
      </w:pPr>
      <w:r>
        <w:rPr>
          <w:rFonts w:ascii="Arial" w:cs="Arial" w:eastAsia="Arial" w:hAnsi="Arial"/>
          <w:rtl/>
        </w:rPr>
        <w:t xml:space="preserve">سكربت التجربة الكامل (قابل لإعادة التشغيل): tools/classifier_comparison_experiment_colab.py بمستودع المشروع.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4c9a3e37d5b578358c514e015ae8a0cc60c5e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2026-09-09T04:46:29.244Z</dcterms:created>
  <dcterms:modified xsi:type="dcterms:W3CDTF">2026-09-09T04:46:29.244Z</dcterms:modified>
</cp:coreProperties>
</file>

<file path=docProps/custom.xml><?xml version="1.0" encoding="utf-8"?>
<Properties xmlns="http://schemas.openxmlformats.org/officeDocument/2006/custom-properties" xmlns:vt="http://schemas.openxmlformats.org/officeDocument/2006/docPropsVTypes"/>
</file>