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aps/>
          <w:color w:val="003B5C"/>
          <w:sz w:val="56"/>
          <w:szCs w:val="56"/>
        </w:rPr>
        <w:t xml:space="preserve">LIQUID SALT DIVERS</w:t>
      </w:r>
    </w:p>
    <w:p>
      <w:pPr>
        <w:pBdr>
          <w:bottom w:val="single" w:color="00B4D8" w:sz="6" w:space="1"/>
        </w:pBdr>
        <w:spacing w:before="0" w:after="160"/>
        <w:jc w:val="center"/>
      </w:pPr>
      <w:r>
        <w:rPr>
          <w:rFonts w:ascii="Arial" w:cs="Arial" w:eastAsia="Arial" w:hAnsi="Arial"/>
          <w:i/>
          <w:iCs/>
          <w:color w:val="0077A8"/>
          <w:sz w:val="24"/>
          <w:szCs w:val="24"/>
        </w:rPr>
        <w:t xml:space="preserve">Dharavandhoo · Baa Atoll · Maldives</w:t>
      </w:r>
    </w:p>
    <w:p>
      <w:pPr>
        <w:spacing w:before="360" w:after="0"/>
        <w:jc w:val="center"/>
      </w:pPr>
    </w:p>
    <w:p>
      <w:pPr>
        <w:spacing w:before="240" w:after="120"/>
        <w:jc w:val="center"/>
      </w:pPr>
      <w:r>
        <w:rPr>
          <w:rFonts w:ascii="Arial" w:cs="Arial" w:eastAsia="Arial" w:hAnsi="Arial"/>
          <w:b/>
          <w:bCs/>
          <w:color w:val="003B5C"/>
          <w:sz w:val="48"/>
          <w:szCs w:val="48"/>
        </w:rPr>
        <w:t xml:space="preserve">Business Requirements Document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0077A8"/>
          <w:sz w:val="28"/>
          <w:szCs w:val="28"/>
        </w:rPr>
        <w:t xml:space="preserve">Website Redesign &amp; Digital Strategy</w:t>
      </w:r>
    </w:p>
    <w:p>
      <w:pPr>
        <w:spacing w:before="240" w:after="80"/>
        <w:jc w:val="center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Version: 1.0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Date: March 2026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C9860A"/>
          <w:sz w:val="20"/>
          <w:szCs w:val="20"/>
        </w:rPr>
        <w:t xml:space="preserve">Classification: Confidential · Internal Use Only</w:t>
      </w:r>
    </w:p>
    <w:p>
      <w:r>
        <w:br w:type="page"/>
      </w:r>
    </w:p>
    <w:p>
      <w:pPr>
        <w:spacing w:before="480" w:after="60"/>
      </w:pPr>
      <w:r>
        <w:rPr>
          <w:rFonts w:ascii="Arial" w:cs="Arial" w:eastAsia="Arial" w:hAnsi="Arial"/>
          <w:b/>
          <w:bCs/>
          <w:caps/>
          <w:color w:val="C9860A"/>
          <w:sz w:val="18"/>
          <w:szCs w:val="18"/>
        </w:rPr>
        <w:t xml:space="preserve">◆ Section 1</w:t>
      </w:r>
    </w:p>
    <w:p>
      <w:pPr>
        <w:pStyle w:val="Heading1"/>
        <w:pBdr>
          <w:bottom w:val="single" w:color="00B4D8" w:sz="6" w:space="1"/>
        </w:pBdr>
        <w:spacing w:before="480" w:after="120"/>
      </w:pPr>
      <w:r>
        <w:rPr>
          <w:rFonts w:ascii="Arial" w:cs="Arial" w:eastAsia="Arial" w:hAnsi="Arial"/>
          <w:b/>
          <w:bCs/>
          <w:color w:val="003B5C"/>
          <w:sz w:val="36"/>
          <w:szCs w:val="36"/>
        </w:rPr>
        <w:t xml:space="preserve">1. Business Context &amp; Strategic Rationale</w:t>
      </w:r>
    </w:p>
    <w:p>
      <w:pPr>
        <w:pBdr>
          <w:left w:val="single" w:color="00B4D8" w:sz="18" w:space="1"/>
        </w:pBdr>
        <w:spacing w:before="240" w:after="240"/>
        <w:ind w:left="720" w:right="720"/>
      </w:pPr>
      <w:r>
        <w:rPr>
          <w:rFonts w:ascii="Georgia" w:cs="Georgia" w:eastAsia="Georgia" w:hAnsi="Georgia"/>
          <w:i/>
          <w:iCs/>
          <w:color w:val="0077A8"/>
          <w:sz w:val="26"/>
          <w:szCs w:val="26"/>
        </w:rPr>
        <w:t xml:space="preserve">"Hanifaru Bay is not a backdrop. It is the reason." — The business case for this redesign starts and ends with that sentence.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Liquid Salt Divers is a PADI 5 Star Dive Centre established on Dharavandhoo island in the Baa Atoll UNESCO Marine Biosphere Reserve. The business operates in a sector where trust, expertise, and the ability to communicate the wonder of the natural environment are the primary commercial differentiators.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existing website represents a significant missed commercial opportunity. The digital presence does not reflect the quality of the experience or the extraordinary nature of the destination. This document defines the business requirements for a redesigned digital platform that will materially improve customer acquisition, conversion, and retention.</w:t>
      </w:r>
    </w:p>
    <w:p>
      <w:pPr>
        <w:pBdr>
          <w:bottom w:val="single" w:color="00B4D8" w:sz="3" w:space="1"/>
        </w:pBdr>
        <w:spacing w:before="200" w:after="200"/>
      </w:pPr>
    </w:p>
    <w:p>
      <w:pPr>
        <w:spacing w:before="480" w:after="60"/>
      </w:pPr>
      <w:r>
        <w:rPr>
          <w:rFonts w:ascii="Arial" w:cs="Arial" w:eastAsia="Arial" w:hAnsi="Arial"/>
          <w:b/>
          <w:bCs/>
          <w:caps/>
          <w:color w:val="C9860A"/>
          <w:sz w:val="18"/>
          <w:szCs w:val="18"/>
        </w:rPr>
        <w:t xml:space="preserve">◆ Section 2</w:t>
      </w:r>
    </w:p>
    <w:p>
      <w:pPr>
        <w:pStyle w:val="Heading1"/>
        <w:pBdr>
          <w:bottom w:val="single" w:color="00B4D8" w:sz="6" w:space="1"/>
        </w:pBdr>
        <w:spacing w:before="480" w:after="120"/>
      </w:pPr>
      <w:r>
        <w:rPr>
          <w:rFonts w:ascii="Arial" w:cs="Arial" w:eastAsia="Arial" w:hAnsi="Arial"/>
          <w:b/>
          <w:bCs/>
          <w:color w:val="003B5C"/>
          <w:sz w:val="36"/>
          <w:szCs w:val="36"/>
        </w:rPr>
        <w:t xml:space="preserve">2. Business Objectives</w:t>
      </w:r>
    </w:p>
    <w:p>
      <w:pPr>
        <w:pStyle w:val="Heading2"/>
        <w:spacing w:before="360" w:after="80"/>
      </w:pPr>
      <w:r>
        <w:rPr>
          <w:rFonts w:ascii="Arial" w:cs="Arial" w:eastAsia="Arial" w:hAnsi="Arial"/>
          <w:b/>
          <w:bCs/>
          <w:color w:val="003B5C"/>
          <w:sz w:val="28"/>
          <w:szCs w:val="28"/>
        </w:rPr>
        <w:t xml:space="preserve">2.1 Revenue Growth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Increase direct online enquiries by 35% within 90 days of launch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Increase package bookings (Manta Madness, Dive Dive Dive, Dive Hanifaru) as a proportion of revenue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Reduce dependency on third-party booking platforms (OTAs) by driving direct contact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Capture pre-season discount bookings — 15% off packages booked before 20 May 2026</w:t>
      </w:r>
    </w:p>
    <w:p>
      <w:pPr>
        <w:spacing w:before="120" w:after="120"/>
      </w:pPr>
    </w:p>
    <w:p>
      <w:pPr>
        <w:pStyle w:val="Heading2"/>
        <w:spacing w:before="360" w:after="80"/>
      </w:pPr>
      <w:r>
        <w:rPr>
          <w:rFonts w:ascii="Arial" w:cs="Arial" w:eastAsia="Arial" w:hAnsi="Arial"/>
          <w:b/>
          <w:bCs/>
          <w:color w:val="003B5C"/>
          <w:sz w:val="28"/>
          <w:szCs w:val="28"/>
        </w:rPr>
        <w:t xml:space="preserve">2.2 Brand &amp; Market Position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Position Liquid Salt Divers as the authoritative dive operator for Hanifaru Bay access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Build recognition as the go-to PADI training centre for Baa Atoll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Establish content authority for manta ray diving and snorkelling search terms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a digital presence worthy of the Baa Atoll UNESCO Marine Biosphere Reserve designation</w:t>
      </w:r>
    </w:p>
    <w:p>
      <w:pPr>
        <w:spacing w:before="120" w:after="120"/>
      </w:pPr>
    </w:p>
    <w:p>
      <w:pPr>
        <w:pStyle w:val="Heading2"/>
        <w:spacing w:before="360" w:after="80"/>
      </w:pPr>
      <w:r>
        <w:rPr>
          <w:rFonts w:ascii="Arial" w:cs="Arial" w:eastAsia="Arial" w:hAnsi="Arial"/>
          <w:b/>
          <w:bCs/>
          <w:color w:val="003B5C"/>
          <w:sz w:val="28"/>
          <w:szCs w:val="28"/>
        </w:rPr>
        <w:t xml:space="preserve">2.3 Operational Efficiency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Reduce pre-sale information requests via WhatsApp by providing comprehensive self-serve content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Automate enquiry routing to reduce response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Provide a professional digital presence that supports premium pricing positioning</w:t>
      </w:r>
    </w:p>
    <w:p>
      <w:pPr>
        <w:pBdr>
          <w:bottom w:val="single" w:color="00B4D8" w:sz="3" w:space="1"/>
        </w:pBdr>
        <w:spacing w:before="200" w:after="200"/>
      </w:pPr>
    </w:p>
    <w:p>
      <w:pPr>
        <w:spacing w:before="480" w:after="60"/>
      </w:pPr>
      <w:r>
        <w:rPr>
          <w:rFonts w:ascii="Arial" w:cs="Arial" w:eastAsia="Arial" w:hAnsi="Arial"/>
          <w:b/>
          <w:bCs/>
          <w:caps/>
          <w:color w:val="C9860A"/>
          <w:sz w:val="18"/>
          <w:szCs w:val="18"/>
        </w:rPr>
        <w:t xml:space="preserve">◆ Section 3</w:t>
      </w:r>
    </w:p>
    <w:p>
      <w:pPr>
        <w:pStyle w:val="Heading1"/>
        <w:pBdr>
          <w:bottom w:val="single" w:color="00B4D8" w:sz="6" w:space="1"/>
        </w:pBdr>
        <w:spacing w:before="480" w:after="120"/>
      </w:pPr>
      <w:r>
        <w:rPr>
          <w:rFonts w:ascii="Arial" w:cs="Arial" w:eastAsia="Arial" w:hAnsi="Arial"/>
          <w:b/>
          <w:bCs/>
          <w:color w:val="003B5C"/>
          <w:sz w:val="36"/>
          <w:szCs w:val="36"/>
        </w:rPr>
        <w:t xml:space="preserve">3. Business Requirements</w:t>
      </w:r>
    </w:p>
    <w:p>
      <w:pPr>
        <w:pStyle w:val="Heading2"/>
        <w:spacing w:before="360" w:after="80"/>
      </w:pPr>
      <w:r>
        <w:rPr>
          <w:rFonts w:ascii="Arial" w:cs="Arial" w:eastAsia="Arial" w:hAnsi="Arial"/>
          <w:b/>
          <w:bCs/>
          <w:color w:val="003B5C"/>
          <w:sz w:val="28"/>
          <w:szCs w:val="28"/>
        </w:rPr>
        <w:t xml:space="preserve">3.1 Customer Acquisition Requirements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000"/>
        <w:gridCol w:w="900"/>
      </w:tblGrid>
      <w:tr>
        <w:trPr>
          <w:tblHeader/>
        </w:trPr>
        <w:tc>
          <w:tcPr>
            <w:tcW w:type="dxa" w:w="9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003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Req. ID</w:t>
            </w:r>
          </w:p>
        </w:tc>
        <w:tc>
          <w:tcPr>
            <w:tcW w:type="dxa" w:w="32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003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0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003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Justification</w:t>
            </w:r>
          </w:p>
        </w:tc>
        <w:tc>
          <w:tcPr>
            <w:tcW w:type="dxa" w:w="9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003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BA-01</w:t>
            </w:r>
          </w:p>
        </w:tc>
        <w:tc>
          <w:tcPr>
            <w:tcW w:type="dxa" w:w="32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Homepage must rank on page 1 of Google for "Hanifaru Bay dive centre"</w:t>
            </w:r>
          </w:p>
        </w:tc>
        <w:tc>
          <w:tcPr>
            <w:tcW w:type="dxa" w:w="30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Organic search is primary customer acquisition channel for dive tourists</w:t>
            </w:r>
          </w:p>
        </w:tc>
        <w:tc>
          <w:tcPr>
            <w:tcW w:type="dxa" w:w="9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BA-02</w:t>
            </w:r>
          </w:p>
        </w:tc>
        <w:tc>
          <w:tcPr>
            <w:tcW w:type="dxa" w:w="32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Website must load in under 3 seconds on 4G mobile</w:t>
            </w:r>
          </w:p>
        </w:tc>
        <w:tc>
          <w:tcPr>
            <w:tcW w:type="dxa" w:w="30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Est. 60–70% of visitors arrive on mobile from international markets</w:t>
            </w:r>
          </w:p>
        </w:tc>
        <w:tc>
          <w:tcPr>
            <w:tcW w:type="dxa" w:w="9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BA-03</w:t>
            </w:r>
          </w:p>
        </w:tc>
        <w:tc>
          <w:tcPr>
            <w:tcW w:type="dxa" w:w="32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Every page must carry a visible, one-tap WhatsApp CTA</w:t>
            </w:r>
          </w:p>
        </w:tc>
        <w:tc>
          <w:tcPr>
            <w:tcW w:type="dxa" w:w="30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WhatsApp is primary communication channel for international enquiries</w:t>
            </w:r>
          </w:p>
        </w:tc>
        <w:tc>
          <w:tcPr>
            <w:tcW w:type="dxa" w:w="9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BA-04</w:t>
            </w:r>
          </w:p>
        </w:tc>
        <w:tc>
          <w:tcPr>
            <w:tcW w:type="dxa" w:w="32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Package pages must display pricing clearly without requiring an enquiry</w:t>
            </w:r>
          </w:p>
        </w:tc>
        <w:tc>
          <w:tcPr>
            <w:tcW w:type="dxa" w:w="30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Price transparency reduces friction and pre-qualifies visitors</w:t>
            </w:r>
          </w:p>
        </w:tc>
        <w:tc>
          <w:tcPr>
            <w:tcW w:type="dxa" w:w="9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BA-05</w:t>
            </w:r>
          </w:p>
        </w:tc>
        <w:tc>
          <w:tcPr>
            <w:tcW w:type="dxa" w:w="32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Site must display social proof (Google/TripAdvisor ratings) on homepage</w:t>
            </w:r>
          </w:p>
        </w:tc>
        <w:tc>
          <w:tcPr>
            <w:tcW w:type="dxa" w:w="30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Trust is primary conversion driver for premium dive bookings</w:t>
            </w:r>
          </w:p>
        </w:tc>
        <w:tc>
          <w:tcPr>
            <w:tcW w:type="dxa" w:w="9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BA-06</w:t>
            </w:r>
          </w:p>
        </w:tc>
        <w:tc>
          <w:tcPr>
            <w:tcW w:type="dxa" w:w="32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PADI 5 Star certification must be prominently displayed</w:t>
            </w:r>
          </w:p>
        </w:tc>
        <w:tc>
          <w:tcPr>
            <w:tcW w:type="dxa" w:w="30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PADI star rating is meaningful trust signal for diving community</w:t>
            </w:r>
          </w:p>
        </w:tc>
        <w:tc>
          <w:tcPr>
            <w:tcW w:type="dxa" w:w="9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BA-07</w:t>
            </w:r>
          </w:p>
        </w:tc>
        <w:tc>
          <w:tcPr>
            <w:tcW w:type="dxa" w:w="32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Hanifaru Bay and UNESCO Biosphere Reserve must feature in hero section</w:t>
            </w:r>
          </w:p>
        </w:tc>
        <w:tc>
          <w:tcPr>
            <w:tcW w:type="dxa" w:w="30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These are primary differentiators from competitors not on Dharavandhoo</w:t>
            </w:r>
          </w:p>
        </w:tc>
        <w:tc>
          <w:tcPr>
            <w:tcW w:type="dxa" w:w="9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BA-08</w:t>
            </w:r>
          </w:p>
        </w:tc>
        <w:tc>
          <w:tcPr>
            <w:tcW w:type="dxa" w:w="32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Pre-season discount offer (15% off, before 20 May 2026) must have dedicated CTA</w:t>
            </w:r>
          </w:p>
        </w:tc>
        <w:tc>
          <w:tcPr>
            <w:tcW w:type="dxa" w:w="30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Promotional offers drive early booking revenue and cash flow</w:t>
            </w:r>
          </w:p>
        </w:tc>
        <w:tc>
          <w:tcPr>
            <w:tcW w:type="dxa" w:w="9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</w:t>
            </w:r>
          </w:p>
        </w:tc>
      </w:tr>
    </w:tbl>
    <w:p>
      <w:pPr>
        <w:spacing w:before="120" w:after="120"/>
      </w:pPr>
    </w:p>
    <w:p>
      <w:pPr>
        <w:pStyle w:val="Heading2"/>
        <w:spacing w:before="360" w:after="80"/>
      </w:pPr>
      <w:r>
        <w:rPr>
          <w:rFonts w:ascii="Arial" w:cs="Arial" w:eastAsia="Arial" w:hAnsi="Arial"/>
          <w:b/>
          <w:bCs/>
          <w:color w:val="003B5C"/>
          <w:sz w:val="28"/>
          <w:szCs w:val="28"/>
        </w:rPr>
        <w:t xml:space="preserve">3.2 Content &amp; Communication Requirements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000"/>
        <w:gridCol w:w="900"/>
      </w:tblGrid>
      <w:tr>
        <w:trPr>
          <w:tblHeader/>
        </w:trPr>
        <w:tc>
          <w:tcPr>
            <w:tcW w:type="dxa" w:w="9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003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Req. ID</w:t>
            </w:r>
          </w:p>
        </w:tc>
        <w:tc>
          <w:tcPr>
            <w:tcW w:type="dxa" w:w="32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003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0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003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Justification</w:t>
            </w:r>
          </w:p>
        </w:tc>
        <w:tc>
          <w:tcPr>
            <w:tcW w:type="dxa" w:w="9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003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BC-01</w:t>
            </w:r>
          </w:p>
        </w:tc>
        <w:tc>
          <w:tcPr>
            <w:tcW w:type="dxa" w:w="32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Dedicated page for each package with full inclusions, price, and booking CTA</w:t>
            </w:r>
          </w:p>
        </w:tc>
        <w:tc>
          <w:tcPr>
            <w:tcW w:type="dxa" w:w="30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Package pages are primary conversion pages; must be standalone and linkable</w:t>
            </w:r>
          </w:p>
        </w:tc>
        <w:tc>
          <w:tcPr>
            <w:tcW w:type="dxa" w:w="9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BC-02</w:t>
            </w:r>
          </w:p>
        </w:tc>
        <w:tc>
          <w:tcPr>
            <w:tcW w:type="dxa" w:w="32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Individual course pages for all 9 PADI courses</w:t>
            </w:r>
          </w:p>
        </w:tc>
        <w:tc>
          <w:tcPr>
            <w:tcW w:type="dxa" w:w="30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Course pages target certification-intent search traffic</w:t>
            </w:r>
          </w:p>
        </w:tc>
        <w:tc>
          <w:tcPr>
            <w:tcW w:type="dxa" w:w="9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BC-03</w:t>
            </w:r>
          </w:p>
        </w:tc>
        <w:tc>
          <w:tcPr>
            <w:tcW w:type="dxa" w:w="32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Hanifaru Bay dedicated content page with seasonal information</w:t>
            </w:r>
          </w:p>
        </w:tc>
        <w:tc>
          <w:tcPr>
            <w:tcW w:type="dxa" w:w="30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High-value SEO and conversion content for top-of-funnel visitors</w:t>
            </w:r>
          </w:p>
        </w:tc>
        <w:tc>
          <w:tcPr>
            <w:tcW w:type="dxa" w:w="9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BC-04</w:t>
            </w:r>
          </w:p>
        </w:tc>
        <w:tc>
          <w:tcPr>
            <w:tcW w:type="dxa" w:w="32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Team profiles page with photos, certifications, and Instagram links</w:t>
            </w:r>
          </w:p>
        </w:tc>
        <w:tc>
          <w:tcPr>
            <w:tcW w:type="dxa" w:w="30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Instructor credibility is key trust factor for dive tourists</w:t>
            </w:r>
          </w:p>
        </w:tc>
        <w:tc>
          <w:tcPr>
            <w:tcW w:type="dxa" w:w="9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BC-05</w:t>
            </w:r>
          </w:p>
        </w:tc>
        <w:tc>
          <w:tcPr>
            <w:tcW w:type="dxa" w:w="32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Accommodation partner section linking to recommended beachfront properties</w:t>
            </w:r>
          </w:p>
        </w:tc>
        <w:tc>
          <w:tcPr>
            <w:tcW w:type="dxa" w:w="30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Logistics support reduces pre-booking friction; supports affiliate revenue</w:t>
            </w:r>
          </w:p>
        </w:tc>
        <w:tc>
          <w:tcPr>
            <w:tcW w:type="dxa" w:w="9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BC-06</w:t>
            </w:r>
          </w:p>
        </w:tc>
        <w:tc>
          <w:tcPr>
            <w:tcW w:type="dxa" w:w="32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Gallery with sortable underwater / above-water categories</w:t>
            </w:r>
          </w:p>
        </w:tc>
        <w:tc>
          <w:tcPr>
            <w:tcW w:type="dxa" w:w="30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Visual evidence of experience quality is primary emotional trigger</w:t>
            </w:r>
          </w:p>
        </w:tc>
        <w:tc>
          <w:tcPr>
            <w:tcW w:type="dxa" w:w="9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BC-07</w:t>
            </w:r>
          </w:p>
        </w:tc>
        <w:tc>
          <w:tcPr>
            <w:tcW w:type="dxa" w:w="32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Marine species identification content (manta, whale shark, reef species)</w:t>
            </w:r>
          </w:p>
        </w:tc>
        <w:tc>
          <w:tcPr>
            <w:tcW w:type="dxa" w:w="30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Content authority supports SEO and serves educated target audience</w:t>
            </w:r>
          </w:p>
        </w:tc>
        <w:tc>
          <w:tcPr>
            <w:tcW w:type="dxa" w:w="9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P2</w:t>
            </w:r>
          </w:p>
        </w:tc>
      </w:tr>
    </w:tbl>
    <w:p>
      <w:pPr>
        <w:spacing w:before="120" w:after="120"/>
      </w:pPr>
    </w:p>
    <w:p>
      <w:pPr>
        <w:pStyle w:val="Heading2"/>
        <w:spacing w:before="360" w:after="80"/>
      </w:pPr>
      <w:r>
        <w:rPr>
          <w:rFonts w:ascii="Arial" w:cs="Arial" w:eastAsia="Arial" w:hAnsi="Arial"/>
          <w:b/>
          <w:bCs/>
          <w:color w:val="003B5C"/>
          <w:sz w:val="28"/>
          <w:szCs w:val="28"/>
        </w:rPr>
        <w:t xml:space="preserve">3.3 Technical Business Requirements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000"/>
        <w:gridCol w:w="900"/>
      </w:tblGrid>
      <w:tr>
        <w:trPr>
          <w:tblHeader/>
        </w:trPr>
        <w:tc>
          <w:tcPr>
            <w:tcW w:type="dxa" w:w="9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003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Req. ID</w:t>
            </w:r>
          </w:p>
        </w:tc>
        <w:tc>
          <w:tcPr>
            <w:tcW w:type="dxa" w:w="32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003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0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003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Justification</w:t>
            </w:r>
          </w:p>
        </w:tc>
        <w:tc>
          <w:tcPr>
            <w:tcW w:type="dxa" w:w="9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003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BT-01</w:t>
            </w:r>
          </w:p>
        </w:tc>
        <w:tc>
          <w:tcPr>
            <w:tcW w:type="dxa" w:w="32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Analytics 4 and Meta Pixel installed and verified</w:t>
            </w:r>
          </w:p>
        </w:tc>
        <w:tc>
          <w:tcPr>
            <w:tcW w:type="dxa" w:w="30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Required for all paid digital marketing and conversion tracking</w:t>
            </w:r>
          </w:p>
        </w:tc>
        <w:tc>
          <w:tcPr>
            <w:tcW w:type="dxa" w:w="9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BT-02</w:t>
            </w:r>
          </w:p>
        </w:tc>
        <w:tc>
          <w:tcPr>
            <w:tcW w:type="dxa" w:w="32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Contact/enquiry forms connected to business email with auto-response</w:t>
            </w:r>
          </w:p>
        </w:tc>
        <w:tc>
          <w:tcPr>
            <w:tcW w:type="dxa" w:w="30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Response time is critical conversion factor in competitive dive market</w:t>
            </w:r>
          </w:p>
        </w:tc>
        <w:tc>
          <w:tcPr>
            <w:tcW w:type="dxa" w:w="9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BT-03</w:t>
            </w:r>
          </w:p>
        </w:tc>
        <w:tc>
          <w:tcPr>
            <w:tcW w:type="dxa" w:w="32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SSL certificate and HTTPS enforced</w:t>
            </w:r>
          </w:p>
        </w:tc>
        <w:tc>
          <w:tcPr>
            <w:tcW w:type="dxa" w:w="30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Trust signal; required for Google search ranking</w:t>
            </w:r>
          </w:p>
        </w:tc>
        <w:tc>
          <w:tcPr>
            <w:tcW w:type="dxa" w:w="9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BT-04</w:t>
            </w:r>
          </w:p>
        </w:tc>
        <w:tc>
          <w:tcPr>
            <w:tcW w:type="dxa" w:w="32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XML sitemap submitted to Google Search Console</w:t>
            </w:r>
          </w:p>
        </w:tc>
        <w:tc>
          <w:tcPr>
            <w:tcW w:type="dxa" w:w="30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Accelerates indexing of new site architecture</w:t>
            </w:r>
          </w:p>
        </w:tc>
        <w:tc>
          <w:tcPr>
            <w:tcW w:type="dxa" w:w="9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BT-05</w:t>
            </w:r>
          </w:p>
        </w:tc>
        <w:tc>
          <w:tcPr>
            <w:tcW w:type="dxa" w:w="32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 Graph tags for all key pages (social sharing preview)</w:t>
            </w:r>
          </w:p>
        </w:tc>
        <w:tc>
          <w:tcPr>
            <w:tcW w:type="dxa" w:w="30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Required for branded social media sharing from guests</w:t>
            </w:r>
          </w:p>
        </w:tc>
        <w:tc>
          <w:tcPr>
            <w:tcW w:type="dxa" w:w="9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BT-06</w:t>
            </w:r>
          </w:p>
        </w:tc>
        <w:tc>
          <w:tcPr>
            <w:tcW w:type="dxa" w:w="32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Schema markup (DiveShop + LocalBusiness)</w:t>
            </w:r>
          </w:p>
        </w:tc>
        <w:tc>
          <w:tcPr>
            <w:tcW w:type="dxa" w:w="30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Enables Google rich results and Maps integration</w:t>
            </w:r>
          </w:p>
        </w:tc>
        <w:tc>
          <w:tcPr>
            <w:tcW w:type="dxa" w:w="9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BT-07</w:t>
            </w:r>
          </w:p>
        </w:tc>
        <w:tc>
          <w:tcPr>
            <w:tcW w:type="dxa" w:w="32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CMS or structured content management for team, packages, gallery</w:t>
            </w:r>
          </w:p>
        </w:tc>
        <w:tc>
          <w:tcPr>
            <w:tcW w:type="dxa" w:w="30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Operational requirement: staff must be able to update content independently</w:t>
            </w:r>
          </w:p>
        </w:tc>
        <w:tc>
          <w:tcPr>
            <w:tcW w:type="dxa" w:w="9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</w:t>
            </w:r>
          </w:p>
        </w:tc>
      </w:tr>
    </w:tbl>
    <w:p>
      <w:pPr>
        <w:pBdr>
          <w:bottom w:val="single" w:color="00B4D8" w:sz="3" w:space="1"/>
        </w:pBdr>
        <w:spacing w:before="200" w:after="200"/>
      </w:pPr>
    </w:p>
    <w:p>
      <w:pPr>
        <w:spacing w:before="480" w:after="60"/>
      </w:pPr>
      <w:r>
        <w:rPr>
          <w:rFonts w:ascii="Arial" w:cs="Arial" w:eastAsia="Arial" w:hAnsi="Arial"/>
          <w:b/>
          <w:bCs/>
          <w:caps/>
          <w:color w:val="C9860A"/>
          <w:sz w:val="18"/>
          <w:szCs w:val="18"/>
        </w:rPr>
        <w:t xml:space="preserve">◆ Section 4</w:t>
      </w:r>
    </w:p>
    <w:p>
      <w:pPr>
        <w:pStyle w:val="Heading1"/>
        <w:pBdr>
          <w:bottom w:val="single" w:color="00B4D8" w:sz="6" w:space="1"/>
        </w:pBdr>
        <w:spacing w:before="480" w:after="120"/>
      </w:pPr>
      <w:r>
        <w:rPr>
          <w:rFonts w:ascii="Arial" w:cs="Arial" w:eastAsia="Arial" w:hAnsi="Arial"/>
          <w:b/>
          <w:bCs/>
          <w:color w:val="003B5C"/>
          <w:sz w:val="36"/>
          <w:szCs w:val="36"/>
        </w:rPr>
        <w:t xml:space="preserve">4. Competitive Context</w:t>
      </w:r>
    </w:p>
    <w:p>
      <w:pPr>
        <w:pStyle w:val="Heading2"/>
        <w:spacing w:before="360" w:after="80"/>
      </w:pPr>
      <w:r>
        <w:rPr>
          <w:rFonts w:ascii="Arial" w:cs="Arial" w:eastAsia="Arial" w:hAnsi="Arial"/>
          <w:b/>
          <w:bCs/>
          <w:color w:val="003B5C"/>
          <w:sz w:val="28"/>
          <w:szCs w:val="28"/>
        </w:rPr>
        <w:t xml:space="preserve">4.1 Market Position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Liquid Salt Divers operates in a niche but competitive segment: dive centres on Baa Atoll with access to Hanifaru Bay. The differentiators are proximity to the aggregation site, PADI 5 Star status, multilingual instruction team, and the community-based character of Dharavandhoo as a local island.</w:t>
      </w:r>
    </w:p>
    <w:p>
      <w:pPr>
        <w:pStyle w:val="Heading2"/>
        <w:spacing w:before="360" w:after="80"/>
      </w:pPr>
      <w:r>
        <w:rPr>
          <w:rFonts w:ascii="Arial" w:cs="Arial" w:eastAsia="Arial" w:hAnsi="Arial"/>
          <w:b/>
          <w:bCs/>
          <w:color w:val="003B5C"/>
          <w:sz w:val="28"/>
          <w:szCs w:val="28"/>
        </w:rPr>
        <w:t xml:space="preserve">4.2 Digital Competitive Advantages to Communicate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Only PADI 5 Star Centre with direct Hanifaru Bay access from a local island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Full course range from Bubble Maker through to Divemaster — complete training pathway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Baa Atoll UNESCO Marine Biosphere Reserve — a certification no competitor can claim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Local knowledge: the team dives these reefs daily and know the cleaning stations personally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Authentic local island experience vs. resort island isolation</w:t>
      </w:r>
    </w:p>
    <w:p>
      <w:pPr>
        <w:pBdr>
          <w:bottom w:val="single" w:color="00B4D8" w:sz="3" w:space="1"/>
        </w:pBdr>
        <w:spacing w:before="200" w:after="200"/>
      </w:pPr>
    </w:p>
    <w:p>
      <w:pPr>
        <w:spacing w:before="480" w:after="60"/>
      </w:pPr>
      <w:r>
        <w:rPr>
          <w:rFonts w:ascii="Arial" w:cs="Arial" w:eastAsia="Arial" w:hAnsi="Arial"/>
          <w:b/>
          <w:bCs/>
          <w:caps/>
          <w:color w:val="C9860A"/>
          <w:sz w:val="18"/>
          <w:szCs w:val="18"/>
        </w:rPr>
        <w:t xml:space="preserve">◆ Section 5</w:t>
      </w:r>
    </w:p>
    <w:p>
      <w:pPr>
        <w:pStyle w:val="Heading1"/>
        <w:pBdr>
          <w:bottom w:val="single" w:color="00B4D8" w:sz="6" w:space="1"/>
        </w:pBdr>
        <w:spacing w:before="480" w:after="120"/>
      </w:pPr>
      <w:r>
        <w:rPr>
          <w:rFonts w:ascii="Arial" w:cs="Arial" w:eastAsia="Arial" w:hAnsi="Arial"/>
          <w:b/>
          <w:bCs/>
          <w:color w:val="003B5C"/>
          <w:sz w:val="36"/>
          <w:szCs w:val="36"/>
        </w:rPr>
        <w:t xml:space="preserve">5. Stakeholder Requirements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003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20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003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57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003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Requirements</w:t>
            </w:r>
          </w:p>
        </w:tc>
      </w:tr>
      <w:tr>
        <w:tc>
          <w:tcPr>
            <w:tcW w:type="dxa" w:w="18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Ryshyn (Founder)</w:t>
            </w:r>
          </w:p>
        </w:tc>
        <w:tc>
          <w:tcPr>
            <w:tcW w:type="dxa" w:w="20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Business owner, primary decision-maker</w:t>
            </w:r>
          </w:p>
        </w:tc>
        <w:tc>
          <w:tcPr>
            <w:tcW w:type="dxa" w:w="57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Brand control, revenue growth, professional credibility, operational simplicity</w:t>
            </w:r>
          </w:p>
        </w:tc>
      </w:tr>
      <w:tr>
        <w:tc>
          <w:tcPr>
            <w:tcW w:type="dxa" w:w="18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Dive Instructors</w:t>
            </w:r>
          </w:p>
        </w:tc>
        <w:tc>
          <w:tcPr>
            <w:tcW w:type="dxa" w:w="20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Content contributors, subject matter experts</w:t>
            </w:r>
          </w:p>
        </w:tc>
        <w:tc>
          <w:tcPr>
            <w:tcW w:type="dxa" w:w="57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Accurate course/qualification information, Instagram profile links, professional photography</w:t>
            </w:r>
          </w:p>
        </w:tc>
      </w:tr>
      <w:tr>
        <w:tc>
          <w:tcPr>
            <w:tcW w:type="dxa" w:w="18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Boat Captains</w:t>
            </w:r>
          </w:p>
        </w:tc>
        <w:tc>
          <w:tcPr>
            <w:tcW w:type="dxa" w:w="20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Operations</w:t>
            </w:r>
          </w:p>
        </w:tc>
        <w:tc>
          <w:tcPr>
            <w:tcW w:type="dxa" w:w="57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Trip schedule accuracy, safety information currency</w:t>
            </w:r>
          </w:p>
        </w:tc>
      </w:tr>
      <w:tr>
        <w:tc>
          <w:tcPr>
            <w:tcW w:type="dxa" w:w="18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Accommodation Partners</w:t>
            </w:r>
          </w:p>
        </w:tc>
        <w:tc>
          <w:tcPr>
            <w:tcW w:type="dxa" w:w="20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Referral partners</w:t>
            </w:r>
          </w:p>
        </w:tc>
        <w:tc>
          <w:tcPr>
            <w:tcW w:type="dxa" w:w="57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Accurate property information, booking link integrity, commission tracking capability</w:t>
            </w:r>
          </w:p>
        </w:tc>
      </w:tr>
      <w:tr>
        <w:tc>
          <w:tcPr>
            <w:tcW w:type="dxa" w:w="18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PADI</w:t>
            </w:r>
          </w:p>
        </w:tc>
        <w:tc>
          <w:tcPr>
            <w:tcW w:type="dxa" w:w="20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Certification body</w:t>
            </w:r>
          </w:p>
        </w:tc>
        <w:tc>
          <w:tcPr>
            <w:tcW w:type="dxa" w:w="57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Correct PADI 5 Star branding and asset usage per PADI brand guidelines</w:t>
            </w:r>
          </w:p>
        </w:tc>
      </w:tr>
      <w:tr>
        <w:tc>
          <w:tcPr>
            <w:tcW w:type="dxa" w:w="18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Guests</w:t>
            </w:r>
          </w:p>
        </w:tc>
        <w:tc>
          <w:tcPr>
            <w:tcW w:type="dxa" w:w="20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end users</w:t>
            </w:r>
          </w:p>
        </w:tc>
        <w:tc>
          <w:tcPr>
            <w:tcW w:type="dxa" w:w="57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See PRD Section 4 — Persona Profiles</w:t>
            </w:r>
          </w:p>
        </w:tc>
      </w:tr>
    </w:tbl>
    <w:p>
      <w:pPr>
        <w:pBdr>
          <w:bottom w:val="single" w:color="00B4D8" w:sz="3" w:space="1"/>
        </w:pBdr>
        <w:spacing w:before="200" w:after="200"/>
      </w:pPr>
    </w:p>
    <w:p>
      <w:pPr>
        <w:spacing w:before="480" w:after="60"/>
      </w:pPr>
      <w:r>
        <w:rPr>
          <w:rFonts w:ascii="Arial" w:cs="Arial" w:eastAsia="Arial" w:hAnsi="Arial"/>
          <w:b/>
          <w:bCs/>
          <w:caps/>
          <w:color w:val="C9860A"/>
          <w:sz w:val="18"/>
          <w:szCs w:val="18"/>
        </w:rPr>
        <w:t xml:space="preserve">◆ Section 6</w:t>
      </w:r>
    </w:p>
    <w:p>
      <w:pPr>
        <w:pStyle w:val="Heading1"/>
        <w:pBdr>
          <w:bottom w:val="single" w:color="00B4D8" w:sz="6" w:space="1"/>
        </w:pBdr>
        <w:spacing w:before="480" w:after="120"/>
      </w:pPr>
      <w:r>
        <w:rPr>
          <w:rFonts w:ascii="Arial" w:cs="Arial" w:eastAsia="Arial" w:hAnsi="Arial"/>
          <w:b/>
          <w:bCs/>
          <w:color w:val="003B5C"/>
          <w:sz w:val="36"/>
          <w:szCs w:val="36"/>
        </w:rPr>
        <w:t xml:space="preserve">6. Business Constraints &amp; Risk Register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003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003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003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3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003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Migration from Wix causes SEO ranking loss</w:t>
            </w:r>
          </w:p>
        </w:tc>
        <w:tc>
          <w:tcPr>
            <w:tcW w:type="dxa" w:w="12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301 redirects for all existing URLs; Google Search Console monitoring; sitemap resubmission day 1</w:t>
            </w:r>
          </w:p>
        </w:tc>
      </w:tr>
      <w:tr>
        <w:tc>
          <w:tcPr>
            <w:tcW w:type="dxa" w:w="28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Photography quality insufficient for new design</w:t>
            </w:r>
          </w:p>
        </w:tc>
        <w:tc>
          <w:tcPr>
            <w:tcW w:type="dxa" w:w="12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Audit existing library; commission underwater shoot in Phase 1 if critical gaps exist</w:t>
            </w:r>
          </w:p>
        </w:tc>
      </w:tr>
      <w:tr>
        <w:tc>
          <w:tcPr>
            <w:tcW w:type="dxa" w:w="28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Wix emails/domain records require reconfiguration</w:t>
            </w:r>
          </w:p>
        </w:tc>
        <w:tc>
          <w:tcPr>
            <w:tcW w:type="dxa" w:w="12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DNS audit before cutover; 48hr buffer for propagation</w:t>
            </w:r>
          </w:p>
        </w:tc>
      </w:tr>
      <w:tr>
        <w:tc>
          <w:tcPr>
            <w:tcW w:type="dxa" w:w="28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Content updates require developer post-launch</w:t>
            </w:r>
          </w:p>
        </w:tc>
        <w:tc>
          <w:tcPr>
            <w:tcW w:type="dxa" w:w="12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Implement headless CMS (Contentful/Sanity) or Webflow editor for non-technical staff</w:t>
            </w:r>
          </w:p>
        </w:tc>
      </w:tr>
      <w:tr>
        <w:tc>
          <w:tcPr>
            <w:tcW w:type="dxa" w:w="28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Pre-season offer expires before site launches</w:t>
            </w:r>
          </w:p>
        </w:tc>
        <w:tc>
          <w:tcPr>
            <w:tcW w:type="dxa" w:w="12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Phased launch: landing page with offer live within 2 weeks; full site within 12 weeks</w:t>
            </w:r>
          </w:p>
        </w:tc>
      </w:tr>
    </w:tbl>
    <w:p>
      <w:pPr>
        <w:pBdr>
          <w:bottom w:val="single" w:color="00B4D8" w:sz="3" w:space="1"/>
        </w:pBdr>
        <w:spacing w:before="200" w:after="200"/>
      </w:pPr>
    </w:p>
    <w:p>
      <w:pPr>
        <w:spacing w:before="480" w:after="60"/>
      </w:pPr>
      <w:r>
        <w:rPr>
          <w:rFonts w:ascii="Arial" w:cs="Arial" w:eastAsia="Arial" w:hAnsi="Arial"/>
          <w:b/>
          <w:bCs/>
          <w:caps/>
          <w:color w:val="C9860A"/>
          <w:sz w:val="18"/>
          <w:szCs w:val="18"/>
        </w:rPr>
        <w:t xml:space="preserve">◆ Section 7</w:t>
      </w:r>
    </w:p>
    <w:p>
      <w:pPr>
        <w:pStyle w:val="Heading1"/>
        <w:pBdr>
          <w:bottom w:val="single" w:color="00B4D8" w:sz="6" w:space="1"/>
        </w:pBdr>
        <w:spacing w:before="480" w:after="120"/>
      </w:pPr>
      <w:r>
        <w:rPr>
          <w:rFonts w:ascii="Arial" w:cs="Arial" w:eastAsia="Arial" w:hAnsi="Arial"/>
          <w:b/>
          <w:bCs/>
          <w:color w:val="003B5C"/>
          <w:sz w:val="36"/>
          <w:szCs w:val="36"/>
        </w:rPr>
        <w:t xml:space="preserve">7. Acceptance Criteria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redesigned website will be considered to meet business requirements when ALL of the following are confirmed: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P0 requirements in Sections 3.1, 3.2, and 3.3 are implemented and verified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Google PageSpeed Mobile score ≥ 90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9 PADI course pages and 3 package pages are live with correct content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Contact forms tested and delivering to correct email addresses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WhatsApp CTAs tested across iOS and Android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GA4 and Meta Pixel verified via Tag Assistant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SSL certificate valid; HTTPS enforced on all pages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Sitemap submitted to Google Search Console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existing URLs either redirected (301) or replicated on new site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Stakeholder sign-off from Ryshyn (Founder) obtained in writing</w:t>
      </w:r>
    </w:p>
    <w:p>
      <w:r>
        <w:br w:type="page"/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B4D8" w:sz="4" w:space="1"/>
      </w:pBdr>
    </w:pPr>
    <w:r>
      <w:rPr>
        <w:rFonts w:ascii="Arial" w:cs="Arial" w:eastAsia="Arial" w:hAnsi="Arial"/>
        <w:color w:val="0077A8"/>
        <w:sz w:val="16"/>
        <w:szCs w:val="16"/>
      </w:rPr>
      <w:t xml:space="preserve">Confidential · liquidsaltdivers.com · PADI 5 Star Dive Centre · Dharavandhoo, Baa Atoll, Maldives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B4D8" w:sz="4" w:space="1"/>
      </w:pBdr>
    </w:pPr>
    <w:r>
      <w:rPr>
        <w:rFonts w:ascii="Arial" w:cs="Arial" w:eastAsia="Arial" w:hAnsi="Arial"/>
        <w:b/>
        <w:bCs/>
        <w:color w:val="003B5C"/>
        <w:sz w:val="18"/>
        <w:szCs w:val="18"/>
      </w:rPr>
      <w:t xml:space="preserve">LIQUID SALT DIVERS  ·  </w:t>
    </w:r>
    <w:r>
      <w:rPr>
        <w:rFonts w:ascii="Arial" w:cs="Arial" w:eastAsia="Arial" w:hAnsi="Arial"/>
        <w:color w:val="0077A8"/>
        <w:sz w:val="18"/>
        <w:szCs w:val="18"/>
      </w:rPr>
      <w:t xml:space="preserve">Business Requirements Document</w:t>
    </w:r>
    <w:r>
      <w:rPr>
        <w:rFonts w:ascii="Arial" w:cs="Arial" w:eastAsia="Arial" w:hAnsi="Arial"/>
        <w:color w:val="1A1A2E"/>
        <w:sz w:val="18"/>
        <w:szCs w:val="18"/>
      </w:rPr>
      <w:t xml:space="preserve">   Page </w:t>
    </w:r>
    <w:r>
      <w:rPr>
        <w:rFonts w:ascii="Arial" w:cs="Arial" w:eastAsia="Arial" w:hAnsi="Arial"/>
        <w:color w:val="1A1A2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20"/>
      <w:outlineLvl w:val="0"/>
    </w:pPr>
    <w:rPr>
      <w:rFonts w:ascii="Arial" w:cs="Arial" w:eastAsia="Arial" w:hAnsi="Arial"/>
      <w:b/>
      <w:bCs/>
      <w:color w:val="003B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80"/>
      <w:outlineLvl w:val="1"/>
    </w:pPr>
    <w:rPr>
      <w:rFonts w:ascii="Arial" w:cs="Arial" w:eastAsia="Arial" w:hAnsi="Arial"/>
      <w:b/>
      <w:bCs/>
      <w:color w:val="003B5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60"/>
      <w:outlineLvl w:val="2"/>
    </w:pPr>
    <w:rPr>
      <w:rFonts w:ascii="Arial" w:cs="Arial" w:eastAsia="Arial" w:hAnsi="Arial"/>
      <w:b/>
      <w:bCs/>
      <w:color w:val="0077A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2026-03-21T16:28:08.691Z</dcterms:created>
  <dcterms:modified xsi:type="dcterms:W3CDTF">2026-03-21T16:28:08.691Z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