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aps/>
          <w:color w:val="003B5C"/>
          <w:sz w:val="56"/>
          <w:szCs w:val="56"/>
        </w:rPr>
        <w:t xml:space="preserve">LIQUID SALT DIVERS</w:t>
      </w:r>
    </w:p>
    <w:p>
      <w:pPr>
        <w:pBdr>
          <w:bottom w:val="single" w:color="00B4D8" w:sz="6" w:space="1"/>
        </w:pBdr>
        <w:spacing w:before="0" w:after="160"/>
        <w:jc w:val="center"/>
      </w:pPr>
      <w:r>
        <w:rPr>
          <w:rFonts w:ascii="Arial" w:cs="Arial" w:eastAsia="Arial" w:hAnsi="Arial"/>
          <w:i/>
          <w:iCs/>
          <w:color w:val="0077A8"/>
          <w:sz w:val="24"/>
          <w:szCs w:val="24"/>
        </w:rPr>
        <w:t xml:space="preserve">Dharavandhoo · Baa Atoll · Maldives</w:t>
      </w:r>
    </w:p>
    <w:p>
      <w:pPr>
        <w:spacing w:before="360" w:after="0"/>
        <w:jc w:val="center"/>
      </w:pPr>
    </w:p>
    <w:p>
      <w:pPr>
        <w:spacing w:before="240" w:after="120"/>
        <w:jc w:val="center"/>
      </w:pPr>
      <w:r>
        <w:rPr>
          <w:rFonts w:ascii="Arial" w:cs="Arial" w:eastAsia="Arial" w:hAnsi="Arial"/>
          <w:b/>
          <w:bCs/>
          <w:color w:val="003B5C"/>
          <w:sz w:val="48"/>
          <w:szCs w:val="48"/>
        </w:rPr>
        <w:t xml:space="preserve">Product Requirements Document</w:t>
      </w:r>
    </w:p>
    <w:p>
      <w:pPr>
        <w:spacing w:before="0" w:after="480"/>
        <w:jc w:val="center"/>
      </w:pPr>
      <w:r>
        <w:rPr>
          <w:rFonts w:ascii="Arial" w:cs="Arial" w:eastAsia="Arial" w:hAnsi="Arial"/>
          <w:i/>
          <w:iCs/>
          <w:color w:val="0077A8"/>
          <w:sz w:val="28"/>
          <w:szCs w:val="28"/>
        </w:rPr>
        <w:t xml:space="preserve">Website Redesign &amp; Development</w:t>
      </w:r>
    </w:p>
    <w:p>
      <w:pPr>
        <w:spacing w:before="240" w:after="80"/>
        <w:jc w:val="center"/>
      </w:pPr>
      <w:r>
        <w:rPr>
          <w:rFonts w:ascii="Arial" w:cs="Arial" w:eastAsia="Arial" w:hAnsi="Arial"/>
          <w:color w:val="1A1A2E"/>
          <w:sz w:val="22"/>
          <w:szCs w:val="22"/>
        </w:rPr>
        <w:t xml:space="preserve">Version: 1.0</w:t>
      </w:r>
    </w:p>
    <w:p>
      <w:pPr>
        <w:spacing w:before="0" w:after="80"/>
        <w:jc w:val="center"/>
      </w:pPr>
      <w:r>
        <w:rPr>
          <w:rFonts w:ascii="Arial" w:cs="Arial" w:eastAsia="Arial" w:hAnsi="Arial"/>
          <w:color w:val="1A1A2E"/>
          <w:sz w:val="22"/>
          <w:szCs w:val="22"/>
        </w:rPr>
        <w:t xml:space="preserve">Date: March 2026</w:t>
      </w:r>
    </w:p>
    <w:p>
      <w:pPr>
        <w:spacing w:before="0" w:after="80"/>
        <w:jc w:val="center"/>
      </w:pPr>
      <w:r>
        <w:rPr>
          <w:rFonts w:ascii="Arial" w:cs="Arial" w:eastAsia="Arial" w:hAnsi="Arial"/>
          <w:i/>
          <w:iCs/>
          <w:color w:val="C9860A"/>
          <w:sz w:val="20"/>
          <w:szCs w:val="20"/>
        </w:rPr>
        <w:t xml:space="preserve">Classification: Confidential · Internal Use Only</w:t>
      </w:r>
    </w:p>
    <w:p>
      <w:r>
        <w:br w:type="page"/>
      </w:r>
    </w:p>
    <w:p>
      <w:pPr>
        <w:spacing w:before="480" w:after="60"/>
      </w:pPr>
      <w:r>
        <w:rPr>
          <w:rFonts w:ascii="Arial" w:cs="Arial" w:eastAsia="Arial" w:hAnsi="Arial"/>
          <w:b/>
          <w:bCs/>
          <w:caps/>
          <w:color w:val="C9860A"/>
          <w:sz w:val="18"/>
          <w:szCs w:val="18"/>
        </w:rPr>
        <w:t xml:space="preserve">◆ Section 1</w:t>
      </w:r>
    </w:p>
    <w:p>
      <w:pPr>
        <w:pStyle w:val="Heading1"/>
        <w:pBdr>
          <w:bottom w:val="single" w:color="00B4D8" w:sz="6" w:space="1"/>
        </w:pBdr>
        <w:spacing w:before="480" w:after="120"/>
      </w:pPr>
      <w:r>
        <w:rPr>
          <w:rFonts w:ascii="Arial" w:cs="Arial" w:eastAsia="Arial" w:hAnsi="Arial"/>
          <w:b/>
          <w:bCs/>
          <w:color w:val="003B5C"/>
          <w:sz w:val="36"/>
          <w:szCs w:val="36"/>
        </w:rPr>
        <w:t xml:space="preserve">1. Executive Summary</w:t>
      </w:r>
    </w:p>
    <w:p>
      <w:pPr>
        <w:pBdr>
          <w:left w:val="single" w:color="00B4D8" w:sz="18" w:space="1"/>
        </w:pBdr>
        <w:spacing w:before="240" w:after="240"/>
        <w:ind w:left="720" w:right="720"/>
      </w:pPr>
      <w:r>
        <w:rPr>
          <w:rFonts w:ascii="Georgia" w:cs="Georgia" w:eastAsia="Georgia" w:hAnsi="Georgia"/>
          <w:i/>
          <w:iCs/>
          <w:color w:val="0077A8"/>
          <w:sz w:val="26"/>
          <w:szCs w:val="26"/>
        </w:rPr>
        <w:t xml:space="preserve">"Deeply addictive." — That is the promise. The website must deliver that feeling before a single word is read.</w:t>
      </w:r>
    </w:p>
    <w:p>
      <w:pPr>
        <w:spacing w:before="80" w:after="120"/>
      </w:pPr>
      <w:r>
        <w:rPr>
          <w:rFonts w:ascii="Arial" w:cs="Arial" w:eastAsia="Arial" w:hAnsi="Arial"/>
          <w:b w:val="false"/>
          <w:bCs w:val="false"/>
          <w:i w:val="false"/>
          <w:iCs w:val="false"/>
          <w:color w:val="1A1A2E"/>
          <w:sz w:val="22"/>
          <w:szCs w:val="22"/>
        </w:rPr>
        <w:t xml:space="preserve">Liquid Salt Divers is a PADI 5 Star Dive Centre based on Dharavandhoo island in the Baa Atoll UNESCO Marine Biosphere Reserve — minutes from Hanifaru Bay, the manta capital of the Maldives. The current website, built on Wix, fails to communicate the visceral, once-in-a-lifetime nature of diving and snorkelling alongside manta rays and whale sharks in one of the most biodiverse marine ecosystems on Earth.</w:t>
      </w:r>
    </w:p>
    <w:p>
      <w:pPr>
        <w:spacing w:before="80" w:after="120"/>
      </w:pPr>
      <w:r>
        <w:rPr>
          <w:rFonts w:ascii="Arial" w:cs="Arial" w:eastAsia="Arial" w:hAnsi="Arial"/>
          <w:b w:val="false"/>
          <w:bCs w:val="false"/>
          <w:i w:val="false"/>
          <w:iCs w:val="false"/>
          <w:color w:val="1A1A2E"/>
          <w:sz w:val="22"/>
          <w:szCs w:val="22"/>
        </w:rPr>
        <w:t xml:space="preserve">This PRD defines the requirements for a ground-up redesign and rebuild of liquidsaltdivers.com — a site that should make visitors feel the pull of the current before they have booked a single dive.</w:t>
      </w:r>
    </w:p>
    <w:p>
      <w:pPr>
        <w:pBdr>
          <w:bottom w:val="single" w:color="00B4D8" w:sz="3" w:space="1"/>
        </w:pBdr>
        <w:spacing w:before="200" w:after="200"/>
      </w:pPr>
    </w:p>
    <w:p>
      <w:pPr>
        <w:spacing w:before="480" w:after="60"/>
      </w:pPr>
      <w:r>
        <w:rPr>
          <w:rFonts w:ascii="Arial" w:cs="Arial" w:eastAsia="Arial" w:hAnsi="Arial"/>
          <w:b/>
          <w:bCs/>
          <w:caps/>
          <w:color w:val="C9860A"/>
          <w:sz w:val="18"/>
          <w:szCs w:val="18"/>
        </w:rPr>
        <w:t xml:space="preserve">◆ Section 2</w:t>
      </w:r>
    </w:p>
    <w:p>
      <w:pPr>
        <w:pStyle w:val="Heading1"/>
        <w:pBdr>
          <w:bottom w:val="single" w:color="00B4D8" w:sz="6" w:space="1"/>
        </w:pBdr>
        <w:spacing w:before="480" w:after="120"/>
      </w:pPr>
      <w:r>
        <w:rPr>
          <w:rFonts w:ascii="Arial" w:cs="Arial" w:eastAsia="Arial" w:hAnsi="Arial"/>
          <w:b/>
          <w:bCs/>
          <w:color w:val="003B5C"/>
          <w:sz w:val="36"/>
          <w:szCs w:val="36"/>
        </w:rPr>
        <w:t xml:space="preserve">2. Problem Statement</w:t>
      </w:r>
    </w:p>
    <w:p>
      <w:pPr>
        <w:pStyle w:val="Heading2"/>
        <w:spacing w:before="360" w:after="80"/>
      </w:pPr>
      <w:r>
        <w:rPr>
          <w:rFonts w:ascii="Arial" w:cs="Arial" w:eastAsia="Arial" w:hAnsi="Arial"/>
          <w:b/>
          <w:bCs/>
          <w:color w:val="003B5C"/>
          <w:sz w:val="28"/>
          <w:szCs w:val="28"/>
        </w:rPr>
        <w:t xml:space="preserve">2.1 Current State Deficiencies</w:t>
      </w:r>
    </w:p>
    <w:p>
      <w:pPr>
        <w:spacing w:before="80" w:after="120"/>
      </w:pPr>
      <w:r>
        <w:rPr>
          <w:rFonts w:ascii="Arial" w:cs="Arial" w:eastAsia="Arial" w:hAnsi="Arial"/>
          <w:b w:val="false"/>
          <w:bCs w:val="false"/>
          <w:i w:val="false"/>
          <w:iCs w:val="false"/>
          <w:color w:val="1A1A2E"/>
          <w:sz w:val="22"/>
          <w:szCs w:val="22"/>
        </w:rPr>
        <w:t xml:space="preserve">The existing Wix-based site suffers from the following critical issues:</w:t>
      </w:r>
    </w:p>
    <w:p>
      <w:pPr>
        <w:pStyle w:val="ListParagraph"/>
        <w:numPr>
          <w:ilvl w:val="0"/>
          <w:numId w:val="2"/>
        </w:numPr>
        <w:spacing w:before="40" w:after="40"/>
      </w:pPr>
      <w:r>
        <w:rPr>
          <w:rFonts w:ascii="Arial" w:cs="Arial" w:eastAsia="Arial" w:hAnsi="Arial"/>
          <w:color w:val="1A1A2E"/>
          <w:sz w:val="22"/>
          <w:szCs w:val="22"/>
        </w:rPr>
        <w:t xml:space="preserve">Generic template aesthetic indistinguishable from thousands of other Wix dive sites globally</w:t>
      </w:r>
    </w:p>
    <w:p>
      <w:pPr>
        <w:pStyle w:val="ListParagraph"/>
        <w:numPr>
          <w:ilvl w:val="0"/>
          <w:numId w:val="2"/>
        </w:numPr>
        <w:spacing w:before="40" w:after="40"/>
      </w:pPr>
      <w:r>
        <w:rPr>
          <w:rFonts w:ascii="Arial" w:cs="Arial" w:eastAsia="Arial" w:hAnsi="Arial"/>
          <w:color w:val="1A1A2E"/>
          <w:sz w:val="22"/>
          <w:szCs w:val="22"/>
        </w:rPr>
        <w:t xml:space="preserve">No cinematic visual language — photography is used as filler, not as storytelling</w:t>
      </w:r>
    </w:p>
    <w:p>
      <w:pPr>
        <w:pStyle w:val="ListParagraph"/>
        <w:numPr>
          <w:ilvl w:val="0"/>
          <w:numId w:val="2"/>
        </w:numPr>
        <w:spacing w:before="40" w:after="40"/>
      </w:pPr>
      <w:r>
        <w:rPr>
          <w:rFonts w:ascii="Arial" w:cs="Arial" w:eastAsia="Arial" w:hAnsi="Arial"/>
          <w:color w:val="1A1A2E"/>
          <w:sz w:val="22"/>
          <w:szCs w:val="22"/>
        </w:rPr>
        <w:t xml:space="preserve">Navigation is duplicated, broken in places, and confusing to first-time visitors</w:t>
      </w:r>
    </w:p>
    <w:p>
      <w:pPr>
        <w:pStyle w:val="ListParagraph"/>
        <w:numPr>
          <w:ilvl w:val="0"/>
          <w:numId w:val="2"/>
        </w:numPr>
        <w:spacing w:before="40" w:after="40"/>
      </w:pPr>
      <w:r>
        <w:rPr>
          <w:rFonts w:ascii="Arial" w:cs="Arial" w:eastAsia="Arial" w:hAnsi="Arial"/>
          <w:color w:val="1A1A2E"/>
          <w:sz w:val="22"/>
          <w:szCs w:val="22"/>
        </w:rPr>
        <w:t xml:space="preserve">Typography is inconsistent and does not reflect the premium nature of the Baa Atoll experience</w:t>
      </w:r>
    </w:p>
    <w:p>
      <w:pPr>
        <w:pStyle w:val="ListParagraph"/>
        <w:numPr>
          <w:ilvl w:val="0"/>
          <w:numId w:val="2"/>
        </w:numPr>
        <w:spacing w:before="40" w:after="40"/>
      </w:pPr>
      <w:r>
        <w:rPr>
          <w:rFonts w:ascii="Arial" w:cs="Arial" w:eastAsia="Arial" w:hAnsi="Arial"/>
          <w:color w:val="1A1A2E"/>
          <w:sz w:val="22"/>
          <w:szCs w:val="22"/>
        </w:rPr>
        <w:t xml:space="preserve">Mobile performance is poor — critical for a customer base browsing on phones across multiple time zones</w:t>
      </w:r>
    </w:p>
    <w:p>
      <w:pPr>
        <w:pStyle w:val="ListParagraph"/>
        <w:numPr>
          <w:ilvl w:val="0"/>
          <w:numId w:val="2"/>
        </w:numPr>
        <w:spacing w:before="40" w:after="40"/>
      </w:pPr>
      <w:r>
        <w:rPr>
          <w:rFonts w:ascii="Arial" w:cs="Arial" w:eastAsia="Arial" w:hAnsi="Arial"/>
          <w:color w:val="1A1A2E"/>
          <w:sz w:val="22"/>
          <w:szCs w:val="22"/>
        </w:rPr>
        <w:t xml:space="preserve">No clear conversion funnel — a visitor landing on the homepage has no obvious next action</w:t>
      </w:r>
    </w:p>
    <w:p>
      <w:pPr>
        <w:pStyle w:val="ListParagraph"/>
        <w:numPr>
          <w:ilvl w:val="0"/>
          <w:numId w:val="2"/>
        </w:numPr>
        <w:spacing w:before="40" w:after="40"/>
      </w:pPr>
      <w:r>
        <w:rPr>
          <w:rFonts w:ascii="Arial" w:cs="Arial" w:eastAsia="Arial" w:hAnsi="Arial"/>
          <w:color w:val="1A1A2E"/>
          <w:sz w:val="22"/>
          <w:szCs w:val="22"/>
        </w:rPr>
        <w:t xml:space="preserve">Zero content hierarchy between the extraordinary (Hanifaru Bay aggregations) and the ordinary (generic scuba listings)</w:t>
      </w:r>
    </w:p>
    <w:p>
      <w:pPr>
        <w:pStyle w:val="ListParagraph"/>
        <w:numPr>
          <w:ilvl w:val="0"/>
          <w:numId w:val="2"/>
        </w:numPr>
        <w:spacing w:before="40" w:after="40"/>
      </w:pPr>
      <w:r>
        <w:rPr>
          <w:rFonts w:ascii="Arial" w:cs="Arial" w:eastAsia="Arial" w:hAnsi="Arial"/>
          <w:color w:val="1A1A2E"/>
          <w:sz w:val="22"/>
          <w:szCs w:val="22"/>
        </w:rPr>
        <w:t xml:space="preserve">SEO architecture is weak — pages are under-optimised for high-intent search terms like "dive Hanifaru Bay" or "manta ray snorkelling Maldives"</w:t>
      </w:r>
    </w:p>
    <w:p>
      <w:pPr>
        <w:spacing w:before="120" w:after="120"/>
      </w:pPr>
    </w:p>
    <w:p>
      <w:pPr>
        <w:pStyle w:val="Heading2"/>
        <w:spacing w:before="360" w:after="80"/>
      </w:pPr>
      <w:r>
        <w:rPr>
          <w:rFonts w:ascii="Arial" w:cs="Arial" w:eastAsia="Arial" w:hAnsi="Arial"/>
          <w:b/>
          <w:bCs/>
          <w:color w:val="003B5C"/>
          <w:sz w:val="28"/>
          <w:szCs w:val="28"/>
        </w:rPr>
        <w:t xml:space="preserve">2.2 Opportunity</w:t>
      </w:r>
    </w:p>
    <w:p>
      <w:pPr>
        <w:spacing w:before="80" w:after="120"/>
      </w:pPr>
      <w:r>
        <w:rPr>
          <w:rFonts w:ascii="Arial" w:cs="Arial" w:eastAsia="Arial" w:hAnsi="Arial"/>
          <w:b w:val="false"/>
          <w:bCs w:val="false"/>
          <w:i w:val="false"/>
          <w:iCs w:val="false"/>
          <w:color w:val="1A1A2E"/>
          <w:sz w:val="22"/>
          <w:szCs w:val="22"/>
        </w:rPr>
        <w:t xml:space="preserve">Liquid Salt Divers occupies a singular geographical position: a PADI 5 Star operator on the doorstep of the single most significant manta ray feeding aggregation site in the world. No amount of marketing budget can replicate that. The website must make this proximity feel as extraordinary as it is.</w:t>
      </w:r>
    </w:p>
    <w:p>
      <w:pPr>
        <w:pBdr>
          <w:left w:val="single" w:color="00B4D8" w:sz="18" w:space="1"/>
        </w:pBdr>
        <w:spacing w:before="240" w:after="240"/>
        <w:ind w:left="720" w:right="720"/>
      </w:pPr>
      <w:r>
        <w:rPr>
          <w:rFonts w:ascii="Georgia" w:cs="Georgia" w:eastAsia="Georgia" w:hAnsi="Georgia"/>
          <w:i/>
          <w:iCs/>
          <w:color w:val="0077A8"/>
          <w:sz w:val="26"/>
          <w:szCs w:val="26"/>
        </w:rPr>
        <w:t xml:space="preserve">"There are only a handful of places in the world where visitors can get so close to so many manta rays." The website is not selling scuba lessons — it is selling access to something most humans will never witness.</w:t>
      </w:r>
    </w:p>
    <w:p>
      <w:pPr>
        <w:pBdr>
          <w:bottom w:val="single" w:color="00B4D8" w:sz="3" w:space="1"/>
        </w:pBdr>
        <w:spacing w:before="200" w:after="200"/>
      </w:pPr>
    </w:p>
    <w:p>
      <w:pPr>
        <w:spacing w:before="480" w:after="60"/>
      </w:pPr>
      <w:r>
        <w:rPr>
          <w:rFonts w:ascii="Arial" w:cs="Arial" w:eastAsia="Arial" w:hAnsi="Arial"/>
          <w:b/>
          <w:bCs/>
          <w:caps/>
          <w:color w:val="C9860A"/>
          <w:sz w:val="18"/>
          <w:szCs w:val="18"/>
        </w:rPr>
        <w:t xml:space="preserve">◆ Section 3</w:t>
      </w:r>
    </w:p>
    <w:p>
      <w:pPr>
        <w:pStyle w:val="Heading1"/>
        <w:pBdr>
          <w:bottom w:val="single" w:color="00B4D8" w:sz="6" w:space="1"/>
        </w:pBdr>
        <w:spacing w:before="480" w:after="120"/>
      </w:pPr>
      <w:r>
        <w:rPr>
          <w:rFonts w:ascii="Arial" w:cs="Arial" w:eastAsia="Arial" w:hAnsi="Arial"/>
          <w:b/>
          <w:bCs/>
          <w:color w:val="003B5C"/>
          <w:sz w:val="36"/>
          <w:szCs w:val="36"/>
        </w:rPr>
        <w:t xml:space="preserve">3. Goals &amp; Success Metrics</w:t>
      </w:r>
    </w:p>
    <w:p>
      <w:pPr>
        <w:pStyle w:val="Heading2"/>
        <w:spacing w:before="360" w:after="80"/>
      </w:pPr>
      <w:r>
        <w:rPr>
          <w:rFonts w:ascii="Arial" w:cs="Arial" w:eastAsia="Arial" w:hAnsi="Arial"/>
          <w:b/>
          <w:bCs/>
          <w:color w:val="003B5C"/>
          <w:sz w:val="28"/>
          <w:szCs w:val="28"/>
        </w:rPr>
        <w:t xml:space="preserve">3.1 Primary Business Goals</w:t>
      </w:r>
    </w:p>
    <w:p>
      <w:pPr>
        <w:pStyle w:val="ListParagraph"/>
        <w:numPr>
          <w:ilvl w:val="0"/>
          <w:numId w:val="2"/>
        </w:numPr>
        <w:spacing w:before="40" w:after="40"/>
      </w:pPr>
      <w:r>
        <w:rPr>
          <w:rFonts w:ascii="Arial" w:cs="Arial" w:eastAsia="Arial" w:hAnsi="Arial"/>
          <w:color w:val="1A1A2E"/>
          <w:sz w:val="22"/>
          <w:szCs w:val="22"/>
        </w:rPr>
        <w:t xml:space="preserve">Increase direct booking conversion rate by minimum 35% within 90 days of launch</w:t>
      </w:r>
    </w:p>
    <w:p>
      <w:pPr>
        <w:pStyle w:val="ListParagraph"/>
        <w:numPr>
          <w:ilvl w:val="0"/>
          <w:numId w:val="2"/>
        </w:numPr>
        <w:spacing w:before="40" w:after="40"/>
      </w:pPr>
      <w:r>
        <w:rPr>
          <w:rFonts w:ascii="Arial" w:cs="Arial" w:eastAsia="Arial" w:hAnsi="Arial"/>
          <w:color w:val="1A1A2E"/>
          <w:sz w:val="22"/>
          <w:szCs w:val="22"/>
        </w:rPr>
        <w:t xml:space="preserve">Reduce bounce rate from homepage by 40%</w:t>
      </w:r>
    </w:p>
    <w:p>
      <w:pPr>
        <w:pStyle w:val="ListParagraph"/>
        <w:numPr>
          <w:ilvl w:val="0"/>
          <w:numId w:val="2"/>
        </w:numPr>
        <w:spacing w:before="40" w:after="40"/>
      </w:pPr>
      <w:r>
        <w:rPr>
          <w:rFonts w:ascii="Arial" w:cs="Arial" w:eastAsia="Arial" w:hAnsi="Arial"/>
          <w:color w:val="1A1A2E"/>
          <w:sz w:val="22"/>
          <w:szCs w:val="22"/>
        </w:rPr>
        <w:t xml:space="preserve">Increase average session duration by 60%</w:t>
      </w:r>
    </w:p>
    <w:p>
      <w:pPr>
        <w:pStyle w:val="ListParagraph"/>
        <w:numPr>
          <w:ilvl w:val="0"/>
          <w:numId w:val="2"/>
        </w:numPr>
        <w:spacing w:before="40" w:after="40"/>
      </w:pPr>
      <w:r>
        <w:rPr>
          <w:rFonts w:ascii="Arial" w:cs="Arial" w:eastAsia="Arial" w:hAnsi="Arial"/>
          <w:color w:val="1A1A2E"/>
          <w:sz w:val="22"/>
          <w:szCs w:val="22"/>
        </w:rPr>
        <w:t xml:space="preserve">Achieve first-page Google ranking for "Hanifaru Bay diving", "Baa Atoll dive centre", "manta ray snorkelling Maldives"</w:t>
      </w:r>
    </w:p>
    <w:p>
      <w:pPr>
        <w:pStyle w:val="ListParagraph"/>
        <w:numPr>
          <w:ilvl w:val="0"/>
          <w:numId w:val="2"/>
        </w:numPr>
        <w:spacing w:before="40" w:after="40"/>
      </w:pPr>
      <w:r>
        <w:rPr>
          <w:rFonts w:ascii="Arial" w:cs="Arial" w:eastAsia="Arial" w:hAnsi="Arial"/>
          <w:color w:val="1A1A2E"/>
          <w:sz w:val="22"/>
          <w:szCs w:val="22"/>
        </w:rPr>
        <w:t xml:space="preserve">Drive minimum 25% increase in WhatsApp and contact form enquiries</w:t>
      </w:r>
    </w:p>
    <w:p>
      <w:pPr>
        <w:spacing w:before="120" w:after="120"/>
      </w:pPr>
    </w:p>
    <w:p>
      <w:pPr>
        <w:pStyle w:val="Heading2"/>
        <w:spacing w:before="360" w:after="80"/>
      </w:pPr>
      <w:r>
        <w:rPr>
          <w:rFonts w:ascii="Arial" w:cs="Arial" w:eastAsia="Arial" w:hAnsi="Arial"/>
          <w:b/>
          <w:bCs/>
          <w:color w:val="003B5C"/>
          <w:sz w:val="28"/>
          <w:szCs w:val="28"/>
        </w:rPr>
        <w:t xml:space="preserve">3.2 Design &amp; Experience Goals</w:t>
      </w:r>
    </w:p>
    <w:p>
      <w:pPr>
        <w:pStyle w:val="ListParagraph"/>
        <w:numPr>
          <w:ilvl w:val="0"/>
          <w:numId w:val="2"/>
        </w:numPr>
        <w:spacing w:before="40" w:after="40"/>
      </w:pPr>
      <w:r>
        <w:rPr>
          <w:rFonts w:ascii="Arial" w:cs="Arial" w:eastAsia="Arial" w:hAnsi="Arial"/>
          <w:color w:val="1A1A2E"/>
          <w:sz w:val="22"/>
          <w:szCs w:val="22"/>
        </w:rPr>
        <w:t xml:space="preserve">The homepage should convey the Liquid Salt Divers brand personality in under 8 seconds</w:t>
      </w:r>
    </w:p>
    <w:p>
      <w:pPr>
        <w:pStyle w:val="ListParagraph"/>
        <w:numPr>
          <w:ilvl w:val="0"/>
          <w:numId w:val="2"/>
        </w:numPr>
        <w:spacing w:before="40" w:after="40"/>
      </w:pPr>
      <w:r>
        <w:rPr>
          <w:rFonts w:ascii="Arial" w:cs="Arial" w:eastAsia="Arial" w:hAnsi="Arial"/>
          <w:color w:val="1A1A2E"/>
          <w:sz w:val="22"/>
          <w:szCs w:val="22"/>
        </w:rPr>
        <w:t xml:space="preserve">Every page should contain at least one moment that stops a scrolling thumb — a pull quote, a cinematic image treatment, a micro-animation</w:t>
      </w:r>
    </w:p>
    <w:p>
      <w:pPr>
        <w:pStyle w:val="ListParagraph"/>
        <w:numPr>
          <w:ilvl w:val="0"/>
          <w:numId w:val="2"/>
        </w:numPr>
        <w:spacing w:before="40" w:after="40"/>
      </w:pPr>
      <w:r>
        <w:rPr>
          <w:rFonts w:ascii="Arial" w:cs="Arial" w:eastAsia="Arial" w:hAnsi="Arial"/>
          <w:color w:val="1A1A2E"/>
          <w:sz w:val="22"/>
          <w:szCs w:val="22"/>
        </w:rPr>
        <w:t xml:space="preserve">The site must be impossible to mistake for a generic dive centre template</w:t>
      </w:r>
    </w:p>
    <w:p>
      <w:pPr>
        <w:pStyle w:val="ListParagraph"/>
        <w:numPr>
          <w:ilvl w:val="0"/>
          <w:numId w:val="2"/>
        </w:numPr>
        <w:spacing w:before="40" w:after="40"/>
      </w:pPr>
      <w:r>
        <w:rPr>
          <w:rFonts w:ascii="Arial" w:cs="Arial" w:eastAsia="Arial" w:hAnsi="Arial"/>
          <w:color w:val="1A1A2E"/>
          <w:sz w:val="22"/>
          <w:szCs w:val="22"/>
        </w:rPr>
        <w:t xml:space="preserve">Package pages must communicate value so clearly that price objections are pre-empted</w:t>
      </w:r>
    </w:p>
    <w:p>
      <w:pPr>
        <w:spacing w:before="120" w:after="120"/>
      </w:pPr>
    </w:p>
    <w:p>
      <w:pPr>
        <w:pStyle w:val="Heading2"/>
        <w:spacing w:before="360" w:after="80"/>
      </w:pPr>
      <w:r>
        <w:rPr>
          <w:rFonts w:ascii="Arial" w:cs="Arial" w:eastAsia="Arial" w:hAnsi="Arial"/>
          <w:b/>
          <w:bCs/>
          <w:color w:val="003B5C"/>
          <w:sz w:val="28"/>
          <w:szCs w:val="28"/>
        </w:rPr>
        <w:t xml:space="preserve">3.3 Key Performance Indicators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000"/>
        <w:gridCol w:w="2000"/>
      </w:tblGrid>
      <w:tr>
        <w:trPr>
          <w:tblHeader/>
        </w:trPr>
        <w:tc>
          <w:tcPr>
            <w:tcW w:type="dxa" w:w="2800"/>
            <w:tcBorders>
              <w:top w:val="single" w:color="BFCFDB" w:sz="1"/>
              <w:left w:val="single" w:color="BFCFDB" w:sz="1"/>
              <w:bottom w:val="single" w:color="BFCFDB" w:sz="1"/>
              <w:right w:val="single" w:color="BFCFDB" w:sz="1"/>
            </w:tcBorders>
            <w:shd w:fill="003B5C" w:val="clear"/>
            <w:tcMar>
              <w:top w:type="dxa" w:w="100"/>
              <w:left w:type="dxa" w:w="140"/>
              <w:bottom w:type="dxa" w:w="100"/>
              <w:right w:type="dxa" w:w="140"/>
            </w:tcMar>
          </w:tcPr>
          <w:p>
            <w:r>
              <w:rPr>
                <w:rFonts w:ascii="Arial" w:cs="Arial" w:eastAsia="Arial" w:hAnsi="Arial"/>
                <w:b/>
                <w:bCs/>
                <w:color w:val="FFFFFF"/>
                <w:sz w:val="20"/>
                <w:szCs w:val="20"/>
              </w:rPr>
              <w:t xml:space="preserve">KPI</w:t>
            </w:r>
          </w:p>
        </w:tc>
        <w:tc>
          <w:tcPr>
            <w:tcW w:type="dxa" w:w="1800"/>
            <w:tcBorders>
              <w:top w:val="single" w:color="BFCFDB" w:sz="1"/>
              <w:left w:val="single" w:color="BFCFDB" w:sz="1"/>
              <w:bottom w:val="single" w:color="BFCFDB" w:sz="1"/>
              <w:right w:val="single" w:color="BFCFDB" w:sz="1"/>
            </w:tcBorders>
            <w:shd w:fill="003B5C" w:val="clear"/>
            <w:tcMar>
              <w:top w:type="dxa" w:w="100"/>
              <w:left w:type="dxa" w:w="140"/>
              <w:bottom w:type="dxa" w:w="100"/>
              <w:right w:type="dxa" w:w="140"/>
            </w:tcMar>
          </w:tcPr>
          <w:p>
            <w:r>
              <w:rPr>
                <w:rFonts w:ascii="Arial" w:cs="Arial" w:eastAsia="Arial" w:hAnsi="Arial"/>
                <w:b/>
                <w:bCs/>
                <w:color w:val="FFFFFF"/>
                <w:sz w:val="20"/>
                <w:szCs w:val="20"/>
              </w:rPr>
              <w:t xml:space="preserve">Baseline (Current)</w:t>
            </w:r>
          </w:p>
        </w:tc>
        <w:tc>
          <w:tcPr>
            <w:tcW w:type="dxa" w:w="2000"/>
            <w:tcBorders>
              <w:top w:val="single" w:color="BFCFDB" w:sz="1"/>
              <w:left w:val="single" w:color="BFCFDB" w:sz="1"/>
              <w:bottom w:val="single" w:color="BFCFDB" w:sz="1"/>
              <w:right w:val="single" w:color="BFCFDB" w:sz="1"/>
            </w:tcBorders>
            <w:shd w:fill="003B5C" w:val="clear"/>
            <w:tcMar>
              <w:top w:type="dxa" w:w="100"/>
              <w:left w:type="dxa" w:w="140"/>
              <w:bottom w:type="dxa" w:w="100"/>
              <w:right w:type="dxa" w:w="140"/>
            </w:tcMar>
          </w:tcPr>
          <w:p>
            <w:r>
              <w:rPr>
                <w:rFonts w:ascii="Arial" w:cs="Arial" w:eastAsia="Arial" w:hAnsi="Arial"/>
                <w:b/>
                <w:bCs/>
                <w:color w:val="FFFFFF"/>
                <w:sz w:val="20"/>
                <w:szCs w:val="20"/>
              </w:rPr>
              <w:t xml:space="preserve">Target (90 days)</w:t>
            </w:r>
          </w:p>
        </w:tc>
        <w:tc>
          <w:tcPr>
            <w:tcW w:type="dxa" w:w="2000"/>
            <w:tcBorders>
              <w:top w:val="single" w:color="BFCFDB" w:sz="1"/>
              <w:left w:val="single" w:color="BFCFDB" w:sz="1"/>
              <w:bottom w:val="single" w:color="BFCFDB" w:sz="1"/>
              <w:right w:val="single" w:color="BFCFDB" w:sz="1"/>
            </w:tcBorders>
            <w:shd w:fill="003B5C" w:val="clear"/>
            <w:tcMar>
              <w:top w:type="dxa" w:w="100"/>
              <w:left w:type="dxa" w:w="140"/>
              <w:bottom w:type="dxa" w:w="100"/>
              <w:right w:type="dxa" w:w="140"/>
            </w:tcMar>
          </w:tcPr>
          <w:p>
            <w:r>
              <w:rPr>
                <w:rFonts w:ascii="Arial" w:cs="Arial" w:eastAsia="Arial" w:hAnsi="Arial"/>
                <w:b/>
                <w:bCs/>
                <w:color w:val="FFFFFF"/>
                <w:sz w:val="20"/>
                <w:szCs w:val="20"/>
              </w:rPr>
              <w:t xml:space="preserve">Target (6 months)</w:t>
            </w:r>
          </w:p>
        </w:tc>
      </w:tr>
      <w:tr>
        <w:tc>
          <w:tcPr>
            <w:tcW w:type="dxa" w:w="28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Homepage bounce rate</w:t>
            </w:r>
          </w:p>
        </w:tc>
        <w:tc>
          <w:tcPr>
            <w:tcW w:type="dxa" w:w="18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Est. 65–72%</w:t>
            </w:r>
          </w:p>
        </w:tc>
        <w:tc>
          <w:tcPr>
            <w:tcW w:type="dxa" w:w="20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&lt; 42%</w:t>
            </w:r>
          </w:p>
        </w:tc>
        <w:tc>
          <w:tcPr>
            <w:tcW w:type="dxa" w:w="20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&lt; 35%</w:t>
            </w:r>
          </w:p>
        </w:tc>
      </w:tr>
      <w:tr>
        <w:tc>
          <w:tcPr>
            <w:tcW w:type="dxa" w:w="28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Avg. session duration</w:t>
            </w:r>
          </w:p>
        </w:tc>
        <w:tc>
          <w:tcPr>
            <w:tcW w:type="dxa" w:w="18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Est. 1m 10s</w:t>
            </w:r>
          </w:p>
        </w:tc>
        <w:tc>
          <w:tcPr>
            <w:tcW w:type="dxa" w:w="20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&gt; 2m 45s</w:t>
            </w:r>
          </w:p>
        </w:tc>
        <w:tc>
          <w:tcPr>
            <w:tcW w:type="dxa" w:w="20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&gt; 3m 30s</w:t>
            </w:r>
          </w:p>
        </w:tc>
      </w:tr>
      <w:tr>
        <w:tc>
          <w:tcPr>
            <w:tcW w:type="dxa" w:w="28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Direct booking enquiries/mo</w:t>
            </w:r>
          </w:p>
        </w:tc>
        <w:tc>
          <w:tcPr>
            <w:tcW w:type="dxa" w:w="18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Baseline TBC</w:t>
            </w:r>
          </w:p>
        </w:tc>
        <w:tc>
          <w:tcPr>
            <w:tcW w:type="dxa" w:w="20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+35%</w:t>
            </w:r>
          </w:p>
        </w:tc>
        <w:tc>
          <w:tcPr>
            <w:tcW w:type="dxa" w:w="20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+60%</w:t>
            </w:r>
          </w:p>
        </w:tc>
      </w:tr>
      <w:tr>
        <w:tc>
          <w:tcPr>
            <w:tcW w:type="dxa" w:w="28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Organic search ranking (Hanifaru)</w:t>
            </w:r>
          </w:p>
        </w:tc>
        <w:tc>
          <w:tcPr>
            <w:tcW w:type="dxa" w:w="18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Page 3–4</w:t>
            </w:r>
          </w:p>
        </w:tc>
        <w:tc>
          <w:tcPr>
            <w:tcW w:type="dxa" w:w="20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Page 1</w:t>
            </w:r>
          </w:p>
        </w:tc>
        <w:tc>
          <w:tcPr>
            <w:tcW w:type="dxa" w:w="20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Top 3</w:t>
            </w:r>
          </w:p>
        </w:tc>
      </w:tr>
      <w:tr>
        <w:tc>
          <w:tcPr>
            <w:tcW w:type="dxa" w:w="28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Mobile Core Web Vitals (LCP)</w:t>
            </w:r>
          </w:p>
        </w:tc>
        <w:tc>
          <w:tcPr>
            <w:tcW w:type="dxa" w:w="18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Est. &gt; 4s</w:t>
            </w:r>
          </w:p>
        </w:tc>
        <w:tc>
          <w:tcPr>
            <w:tcW w:type="dxa" w:w="20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&lt; 2.5s</w:t>
            </w:r>
          </w:p>
        </w:tc>
        <w:tc>
          <w:tcPr>
            <w:tcW w:type="dxa" w:w="20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&lt; 2s</w:t>
            </w:r>
          </w:p>
        </w:tc>
      </w:tr>
      <w:tr>
        <w:tc>
          <w:tcPr>
            <w:tcW w:type="dxa" w:w="28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WhatsApp click-through</w:t>
            </w:r>
          </w:p>
        </w:tc>
        <w:tc>
          <w:tcPr>
            <w:tcW w:type="dxa" w:w="18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Baseline TBC</w:t>
            </w:r>
          </w:p>
        </w:tc>
        <w:tc>
          <w:tcPr>
            <w:tcW w:type="dxa" w:w="20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+40%</w:t>
            </w:r>
          </w:p>
        </w:tc>
        <w:tc>
          <w:tcPr>
            <w:tcW w:type="dxa" w:w="20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+70%</w:t>
            </w:r>
          </w:p>
        </w:tc>
      </w:tr>
    </w:tbl>
    <w:p>
      <w:pPr>
        <w:pBdr>
          <w:bottom w:val="single" w:color="00B4D8" w:sz="3" w:space="1"/>
        </w:pBdr>
        <w:spacing w:before="200" w:after="200"/>
      </w:pPr>
    </w:p>
    <w:p>
      <w:pPr>
        <w:spacing w:before="480" w:after="60"/>
      </w:pPr>
      <w:r>
        <w:rPr>
          <w:rFonts w:ascii="Arial" w:cs="Arial" w:eastAsia="Arial" w:hAnsi="Arial"/>
          <w:b/>
          <w:bCs/>
          <w:caps/>
          <w:color w:val="C9860A"/>
          <w:sz w:val="18"/>
          <w:szCs w:val="18"/>
        </w:rPr>
        <w:t xml:space="preserve">◆ Section 4</w:t>
      </w:r>
    </w:p>
    <w:p>
      <w:pPr>
        <w:pStyle w:val="Heading1"/>
        <w:pBdr>
          <w:bottom w:val="single" w:color="00B4D8" w:sz="6" w:space="1"/>
        </w:pBdr>
        <w:spacing w:before="480" w:after="120"/>
      </w:pPr>
      <w:r>
        <w:rPr>
          <w:rFonts w:ascii="Arial" w:cs="Arial" w:eastAsia="Arial" w:hAnsi="Arial"/>
          <w:b/>
          <w:bCs/>
          <w:color w:val="003B5C"/>
          <w:sz w:val="36"/>
          <w:szCs w:val="36"/>
        </w:rPr>
        <w:t xml:space="preserve">4. Target Audience &amp; Persona Profiles</w:t>
      </w:r>
    </w:p>
    <w:p>
      <w:pPr>
        <w:pStyle w:val="Heading2"/>
        <w:spacing w:before="360" w:after="80"/>
      </w:pPr>
      <w:r>
        <w:rPr>
          <w:rFonts w:ascii="Arial" w:cs="Arial" w:eastAsia="Arial" w:hAnsi="Arial"/>
          <w:b/>
          <w:bCs/>
          <w:color w:val="003B5C"/>
          <w:sz w:val="28"/>
          <w:szCs w:val="28"/>
        </w:rPr>
        <w:t xml:space="preserve">4.1 Primary Personas</w:t>
      </w:r>
    </w:p>
    <w:p>
      <w:pPr>
        <w:pStyle w:val="Heading3"/>
        <w:spacing w:before="240" w:after="60"/>
      </w:pPr>
      <w:r>
        <w:rPr>
          <w:rFonts w:ascii="Arial" w:cs="Arial" w:eastAsia="Arial" w:hAnsi="Arial"/>
          <w:b/>
          <w:bCs/>
          <w:color w:val="0077A8"/>
          <w:sz w:val="24"/>
          <w:szCs w:val="24"/>
        </w:rPr>
        <w:t xml:space="preserve">Persona A — "The Manta Pilgrim"</w:t>
      </w:r>
    </w:p>
    <w:p>
      <w:pPr>
        <w:spacing w:before="80" w:after="120"/>
      </w:pPr>
      <w:r>
        <w:rPr>
          <w:rFonts w:ascii="Arial" w:cs="Arial" w:eastAsia="Arial" w:hAnsi="Arial"/>
          <w:b w:val="false"/>
          <w:bCs w:val="false"/>
          <w:i w:val="false"/>
          <w:iCs w:val="false"/>
          <w:color w:val="1A1A2E"/>
          <w:sz w:val="22"/>
          <w:szCs w:val="22"/>
        </w:rPr>
        <w:t xml:space="preserve">Age 28–55 · Certified diver · Has seen manta rays in screensavers; wants to see them in real life · Researches obsessively before booking · Reads dive magazines · Follows @mantawatch · Willing to travel 20+ hours for the right site · Budget-conscious but will spend on the experience itself · Decides based on trust signals and authentic photography.</w:t>
      </w:r>
    </w:p>
    <w:p>
      <w:pPr>
        <w:pStyle w:val="Heading3"/>
        <w:spacing w:before="240" w:after="60"/>
      </w:pPr>
      <w:r>
        <w:rPr>
          <w:rFonts w:ascii="Arial" w:cs="Arial" w:eastAsia="Arial" w:hAnsi="Arial"/>
          <w:b/>
          <w:bCs/>
          <w:color w:val="0077A8"/>
          <w:sz w:val="24"/>
          <w:szCs w:val="24"/>
        </w:rPr>
        <w:t xml:space="preserve">Persona B — "The Underwater Photographer"</w:t>
      </w:r>
    </w:p>
    <w:p>
      <w:pPr>
        <w:spacing w:before="80" w:after="120"/>
      </w:pPr>
      <w:r>
        <w:rPr>
          <w:rFonts w:ascii="Arial" w:cs="Arial" w:eastAsia="Arial" w:hAnsi="Arial"/>
          <w:b w:val="false"/>
          <w:bCs w:val="false"/>
          <w:i w:val="false"/>
          <w:iCs w:val="false"/>
          <w:color w:val="1A1A2E"/>
          <w:sz w:val="22"/>
          <w:szCs w:val="22"/>
        </w:rPr>
        <w:t xml:space="preserve">Age 30–55 · Advanced diver or freediver · Travels specifically to document · Needs info on vis, current, aggregation frequency, and guide expertise · Wants to know the instructors by name and reputation · Will share content organically if the experience delivers · High value ambassador.</w:t>
      </w:r>
    </w:p>
    <w:p>
      <w:pPr>
        <w:pStyle w:val="Heading3"/>
        <w:spacing w:before="240" w:after="60"/>
      </w:pPr>
      <w:r>
        <w:rPr>
          <w:rFonts w:ascii="Arial" w:cs="Arial" w:eastAsia="Arial" w:hAnsi="Arial"/>
          <w:b/>
          <w:bCs/>
          <w:color w:val="0077A8"/>
          <w:sz w:val="24"/>
          <w:szCs w:val="24"/>
        </w:rPr>
        <w:t xml:space="preserve">Persona C — "The Adventure Couple"</w:t>
      </w:r>
    </w:p>
    <w:p>
      <w:pPr>
        <w:spacing w:before="80" w:after="120"/>
      </w:pPr>
      <w:r>
        <w:rPr>
          <w:rFonts w:ascii="Arial" w:cs="Arial" w:eastAsia="Arial" w:hAnsi="Arial"/>
          <w:b w:val="false"/>
          <w:bCs w:val="false"/>
          <w:i w:val="false"/>
          <w:iCs w:val="false"/>
          <w:color w:val="1A1A2E"/>
          <w:sz w:val="22"/>
          <w:szCs w:val="22"/>
        </w:rPr>
        <w:t xml:space="preserve">Age 26–45 · One certified diver, one snorkeller or curious beginner · Planning a trip that feels genuinely different from a resort holiday · Want authentic local experience alongside marine access · Responsive to package deals that work for mixed ability levels · Book 3–6 months in advance.</w:t>
      </w:r>
    </w:p>
    <w:p>
      <w:pPr>
        <w:pStyle w:val="Heading3"/>
        <w:spacing w:before="240" w:after="60"/>
      </w:pPr>
      <w:r>
        <w:rPr>
          <w:rFonts w:ascii="Arial" w:cs="Arial" w:eastAsia="Arial" w:hAnsi="Arial"/>
          <w:b/>
          <w:bCs/>
          <w:color w:val="0077A8"/>
          <w:sz w:val="24"/>
          <w:szCs w:val="24"/>
        </w:rPr>
        <w:t xml:space="preserve">Persona D — "The Marine Biology Enthusiast"</w:t>
      </w:r>
    </w:p>
    <w:p>
      <w:pPr>
        <w:spacing w:before="80" w:after="120"/>
      </w:pPr>
      <w:r>
        <w:rPr>
          <w:rFonts w:ascii="Arial" w:cs="Arial" w:eastAsia="Arial" w:hAnsi="Arial"/>
          <w:b w:val="false"/>
          <w:bCs w:val="false"/>
          <w:i w:val="false"/>
          <w:iCs w:val="false"/>
          <w:color w:val="1A1A2E"/>
          <w:sz w:val="22"/>
          <w:szCs w:val="22"/>
        </w:rPr>
        <w:t xml:space="preserve">Age 24–50 · May or may not be certified · Deep knowledge of elasmobranch biology · Reads the Manta Trust research · Values conservation credentials · Wants to know the dive centre has a genuine relationship with the reef, not just a business model built on it.</w:t>
      </w:r>
    </w:p>
    <w:p>
      <w:pPr>
        <w:spacing w:before="120" w:after="120"/>
      </w:pPr>
    </w:p>
    <w:p>
      <w:pPr>
        <w:pStyle w:val="Heading2"/>
        <w:spacing w:before="360" w:after="80"/>
      </w:pPr>
      <w:r>
        <w:rPr>
          <w:rFonts w:ascii="Arial" w:cs="Arial" w:eastAsia="Arial" w:hAnsi="Arial"/>
          <w:b/>
          <w:bCs/>
          <w:color w:val="003B5C"/>
          <w:sz w:val="28"/>
          <w:szCs w:val="28"/>
        </w:rPr>
        <w:t xml:space="preserve">4.2 User Needs Matrix</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800"/>
        <w:gridCol w:w="2560"/>
      </w:tblGrid>
      <w:tr>
        <w:trPr>
          <w:tblHeader/>
        </w:trPr>
        <w:tc>
          <w:tcPr>
            <w:tcW w:type="dxa" w:w="2800"/>
            <w:tcBorders>
              <w:top w:val="single" w:color="BFCFDB" w:sz="1"/>
              <w:left w:val="single" w:color="BFCFDB" w:sz="1"/>
              <w:bottom w:val="single" w:color="BFCFDB" w:sz="1"/>
              <w:right w:val="single" w:color="BFCFDB" w:sz="1"/>
            </w:tcBorders>
            <w:shd w:fill="003B5C" w:val="clear"/>
            <w:tcMar>
              <w:top w:type="dxa" w:w="100"/>
              <w:left w:type="dxa" w:w="140"/>
              <w:bottom w:type="dxa" w:w="100"/>
              <w:right w:type="dxa" w:w="140"/>
            </w:tcMar>
          </w:tcPr>
          <w:p>
            <w:r>
              <w:rPr>
                <w:rFonts w:ascii="Arial" w:cs="Arial" w:eastAsia="Arial" w:hAnsi="Arial"/>
                <w:b/>
                <w:bCs/>
                <w:color w:val="FFFFFF"/>
                <w:sz w:val="20"/>
                <w:szCs w:val="20"/>
              </w:rPr>
              <w:t xml:space="preserve">User Need</w:t>
            </w:r>
          </w:p>
        </w:tc>
        <w:tc>
          <w:tcPr>
            <w:tcW w:type="dxa" w:w="1400"/>
            <w:tcBorders>
              <w:top w:val="single" w:color="BFCFDB" w:sz="1"/>
              <w:left w:val="single" w:color="BFCFDB" w:sz="1"/>
              <w:bottom w:val="single" w:color="BFCFDB" w:sz="1"/>
              <w:right w:val="single" w:color="BFCFDB" w:sz="1"/>
            </w:tcBorders>
            <w:shd w:fill="003B5C" w:val="clear"/>
            <w:tcMar>
              <w:top w:type="dxa" w:w="100"/>
              <w:left w:type="dxa" w:w="140"/>
              <w:bottom w:type="dxa" w:w="100"/>
              <w:right w:type="dxa" w:w="140"/>
            </w:tcMar>
          </w:tcPr>
          <w:p>
            <w:r>
              <w:rPr>
                <w:rFonts w:ascii="Arial" w:cs="Arial" w:eastAsia="Arial" w:hAnsi="Arial"/>
                <w:b/>
                <w:bCs/>
                <w:color w:val="FFFFFF"/>
                <w:sz w:val="20"/>
                <w:szCs w:val="20"/>
              </w:rPr>
              <w:t xml:space="preserve">Persona</w:t>
            </w:r>
          </w:p>
        </w:tc>
        <w:tc>
          <w:tcPr>
            <w:tcW w:type="dxa" w:w="1800"/>
            <w:tcBorders>
              <w:top w:val="single" w:color="BFCFDB" w:sz="1"/>
              <w:left w:val="single" w:color="BFCFDB" w:sz="1"/>
              <w:bottom w:val="single" w:color="BFCFDB" w:sz="1"/>
              <w:right w:val="single" w:color="BFCFDB" w:sz="1"/>
            </w:tcBorders>
            <w:shd w:fill="003B5C" w:val="clear"/>
            <w:tcMar>
              <w:top w:type="dxa" w:w="100"/>
              <w:left w:type="dxa" w:w="140"/>
              <w:bottom w:type="dxa" w:w="100"/>
              <w:right w:type="dxa" w:w="140"/>
            </w:tcMar>
          </w:tcPr>
          <w:p>
            <w:r>
              <w:rPr>
                <w:rFonts w:ascii="Arial" w:cs="Arial" w:eastAsia="Arial" w:hAnsi="Arial"/>
                <w:b/>
                <w:bCs/>
                <w:color w:val="FFFFFF"/>
                <w:sz w:val="20"/>
                <w:szCs w:val="20"/>
              </w:rPr>
              <w:t xml:space="preserve">Current Site</w:t>
            </w:r>
          </w:p>
        </w:tc>
        <w:tc>
          <w:tcPr>
            <w:tcW w:type="dxa" w:w="2560"/>
            <w:tcBorders>
              <w:top w:val="single" w:color="BFCFDB" w:sz="1"/>
              <w:left w:val="single" w:color="BFCFDB" w:sz="1"/>
              <w:bottom w:val="single" w:color="BFCFDB" w:sz="1"/>
              <w:right w:val="single" w:color="BFCFDB" w:sz="1"/>
            </w:tcBorders>
            <w:shd w:fill="003B5C" w:val="clear"/>
            <w:tcMar>
              <w:top w:type="dxa" w:w="100"/>
              <w:left w:type="dxa" w:w="140"/>
              <w:bottom w:type="dxa" w:w="100"/>
              <w:right w:type="dxa" w:w="140"/>
            </w:tcMar>
          </w:tcPr>
          <w:p>
            <w:r>
              <w:rPr>
                <w:rFonts w:ascii="Arial" w:cs="Arial" w:eastAsia="Arial" w:hAnsi="Arial"/>
                <w:b/>
                <w:bCs/>
                <w:color w:val="FFFFFF"/>
                <w:sz w:val="20"/>
                <w:szCs w:val="20"/>
              </w:rPr>
              <w:t xml:space="preserve">New Site Solution</w:t>
            </w:r>
          </w:p>
        </w:tc>
      </w:tr>
      <w:tr>
        <w:tc>
          <w:tcPr>
            <w:tcW w:type="dxa" w:w="28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"Can I trust this dive centre?"</w:t>
            </w:r>
          </w:p>
        </w:tc>
        <w:tc>
          <w:tcPr>
            <w:tcW w:type="dxa" w:w="14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All</w:t>
            </w:r>
          </w:p>
        </w:tc>
        <w:tc>
          <w:tcPr>
            <w:tcW w:type="dxa" w:w="18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 social proof visible</w:t>
            </w:r>
          </w:p>
        </w:tc>
        <w:tc>
          <w:tcPr>
            <w:tcW w:type="dxa" w:w="256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PADI badge, team bios, TripAdvisor/Google ratings widget</w:t>
            </w:r>
          </w:p>
        </w:tc>
      </w:tr>
      <w:tr>
        <w:tc>
          <w:tcPr>
            <w:tcW w:type="dxa" w:w="28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"What will I actually see?"</w:t>
            </w:r>
          </w:p>
        </w:tc>
        <w:tc>
          <w:tcPr>
            <w:tcW w:type="dxa" w:w="14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A, B, D</w:t>
            </w:r>
          </w:p>
        </w:tc>
        <w:tc>
          <w:tcPr>
            <w:tcW w:type="dxa" w:w="18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Generic stock text</w:t>
            </w:r>
          </w:p>
        </w:tc>
        <w:tc>
          <w:tcPr>
            <w:tcW w:type="dxa" w:w="256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Cinematic photography, species ID cards, season calendar</w:t>
            </w:r>
          </w:p>
        </w:tc>
      </w:tr>
      <w:tr>
        <w:tc>
          <w:tcPr>
            <w:tcW w:type="dxa" w:w="28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"What packages suit me?"</w:t>
            </w:r>
          </w:p>
        </w:tc>
        <w:tc>
          <w:tcPr>
            <w:tcW w:type="dxa" w:w="14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 C</w:t>
            </w:r>
          </w:p>
        </w:tc>
        <w:tc>
          <w:tcPr>
            <w:tcW w:type="dxa" w:w="18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List buried in nav</w:t>
            </w:r>
          </w:p>
        </w:tc>
        <w:tc>
          <w:tcPr>
            <w:tcW w:type="dxa" w:w="256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Hero package cards with clear inclusions and pricing</w:t>
            </w:r>
          </w:p>
        </w:tc>
      </w:tr>
      <w:tr>
        <w:tc>
          <w:tcPr>
            <w:tcW w:type="dxa" w:w="28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"How do I get there?"</w:t>
            </w:r>
          </w:p>
        </w:tc>
        <w:tc>
          <w:tcPr>
            <w:tcW w:type="dxa" w:w="14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All</w:t>
            </w:r>
          </w:p>
        </w:tc>
        <w:tc>
          <w:tcPr>
            <w:tcW w:type="dxa" w:w="18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No clear logistics section</w:t>
            </w:r>
          </w:p>
        </w:tc>
        <w:tc>
          <w:tcPr>
            <w:tcW w:type="dxa" w:w="256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Dedicated How To Reach Us page with seaplane/speedboat info</w:t>
            </w:r>
          </w:p>
        </w:tc>
      </w:tr>
      <w:tr>
        <w:tc>
          <w:tcPr>
            <w:tcW w:type="dxa" w:w="28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"Is it the right season?"</w:t>
            </w:r>
          </w:p>
        </w:tc>
        <w:tc>
          <w:tcPr>
            <w:tcW w:type="dxa" w:w="14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 B, D</w:t>
            </w:r>
          </w:p>
        </w:tc>
        <w:tc>
          <w:tcPr>
            <w:tcW w:type="dxa" w:w="18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Not addressed</w:t>
            </w:r>
          </w:p>
        </w:tc>
        <w:tc>
          <w:tcPr>
            <w:tcW w:type="dxa" w:w="256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Interactive best-time calendar on homepage</w:t>
            </w:r>
          </w:p>
        </w:tc>
      </w:tr>
      <w:tr>
        <w:tc>
          <w:tcPr>
            <w:tcW w:type="dxa" w:w="28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"Can beginners join?"</w:t>
            </w:r>
          </w:p>
        </w:tc>
        <w:tc>
          <w:tcPr>
            <w:tcW w:type="dxa" w:w="14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C</w:t>
            </w:r>
          </w:p>
        </w:tc>
        <w:tc>
          <w:tcPr>
            <w:tcW w:type="dxa" w:w="18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Courses listed but not contextualised</w:t>
            </w:r>
          </w:p>
        </w:tc>
        <w:tc>
          <w:tcPr>
            <w:tcW w:type="dxa" w:w="256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Discover Scuba pathway card with reassuring copy</w:t>
            </w:r>
          </w:p>
        </w:tc>
      </w:tr>
    </w:tbl>
    <w:p>
      <w:pPr>
        <w:pBdr>
          <w:bottom w:val="single" w:color="00B4D8" w:sz="3" w:space="1"/>
        </w:pBdr>
        <w:spacing w:before="200" w:after="200"/>
      </w:pPr>
    </w:p>
    <w:p>
      <w:pPr>
        <w:spacing w:before="480" w:after="60"/>
      </w:pPr>
      <w:r>
        <w:rPr>
          <w:rFonts w:ascii="Arial" w:cs="Arial" w:eastAsia="Arial" w:hAnsi="Arial"/>
          <w:b/>
          <w:bCs/>
          <w:caps/>
          <w:color w:val="C9860A"/>
          <w:sz w:val="18"/>
          <w:szCs w:val="18"/>
        </w:rPr>
        <w:t xml:space="preserve">◆ Section 5</w:t>
      </w:r>
    </w:p>
    <w:p>
      <w:pPr>
        <w:pStyle w:val="Heading1"/>
        <w:pBdr>
          <w:bottom w:val="single" w:color="00B4D8" w:sz="6" w:space="1"/>
        </w:pBdr>
        <w:spacing w:before="480" w:after="120"/>
      </w:pPr>
      <w:r>
        <w:rPr>
          <w:rFonts w:ascii="Arial" w:cs="Arial" w:eastAsia="Arial" w:hAnsi="Arial"/>
          <w:b/>
          <w:bCs/>
          <w:color w:val="003B5C"/>
          <w:sz w:val="36"/>
          <w:szCs w:val="36"/>
        </w:rPr>
        <w:t xml:space="preserve">5. Design Vision &amp; Principles</w:t>
      </w:r>
    </w:p>
    <w:p>
      <w:pPr>
        <w:pBdr>
          <w:left w:val="single" w:color="00B4D8" w:sz="18" w:space="1"/>
        </w:pBdr>
        <w:spacing w:before="240" w:after="240"/>
        <w:ind w:left="720" w:right="720"/>
      </w:pPr>
      <w:r>
        <w:rPr>
          <w:rFonts w:ascii="Georgia" w:cs="Georgia" w:eastAsia="Georgia" w:hAnsi="Georgia"/>
          <w:i/>
          <w:iCs/>
          <w:color w:val="0077A8"/>
          <w:sz w:val="26"/>
          <w:szCs w:val="26"/>
        </w:rPr>
        <w:t xml:space="preserve">"The hero is the water surface. Everything below it is discovery."</w:t>
      </w:r>
    </w:p>
    <w:p>
      <w:pPr>
        <w:pStyle w:val="Heading2"/>
        <w:spacing w:before="360" w:after="80"/>
      </w:pPr>
      <w:r>
        <w:rPr>
          <w:rFonts w:ascii="Arial" w:cs="Arial" w:eastAsia="Arial" w:hAnsi="Arial"/>
          <w:b/>
          <w:bCs/>
          <w:color w:val="003B5C"/>
          <w:sz w:val="28"/>
          <w:szCs w:val="28"/>
        </w:rPr>
        <w:t xml:space="preserve">5.1 Core Design Philosophy</w:t>
      </w:r>
    </w:p>
    <w:p>
      <w:pPr>
        <w:spacing w:before="80" w:after="120"/>
      </w:pPr>
      <w:r>
        <w:rPr>
          <w:rFonts w:ascii="Arial" w:cs="Arial" w:eastAsia="Arial" w:hAnsi="Arial"/>
          <w:b w:val="false"/>
          <w:bCs w:val="false"/>
          <w:i w:val="false"/>
          <w:iCs w:val="false"/>
          <w:color w:val="1A1A2E"/>
          <w:sz w:val="22"/>
          <w:szCs w:val="22"/>
        </w:rPr>
        <w:t xml:space="preserve">The redesign is guided by five master principles, each drawn from a different creative tradition:</w:t>
      </w:r>
    </w:p>
    <w:p>
      <w:pPr>
        <w:pStyle w:val="Heading3"/>
        <w:spacing w:before="240" w:after="60"/>
      </w:pPr>
      <w:r>
        <w:rPr>
          <w:rFonts w:ascii="Arial" w:cs="Arial" w:eastAsia="Arial" w:hAnsi="Arial"/>
          <w:b/>
          <w:bCs/>
          <w:color w:val="0077A8"/>
          <w:sz w:val="24"/>
          <w:szCs w:val="24"/>
        </w:rPr>
        <w:t xml:space="preserve">I. Composition — The Reef Principle (da Vinci)</w:t>
      </w:r>
    </w:p>
    <w:p>
      <w:pPr>
        <w:spacing w:before="80" w:after="120"/>
      </w:pPr>
      <w:r>
        <w:rPr>
          <w:rFonts w:ascii="Arial" w:cs="Arial" w:eastAsia="Arial" w:hAnsi="Arial"/>
          <w:b w:val="false"/>
          <w:bCs w:val="false"/>
          <w:i w:val="false"/>
          <w:iCs w:val="false"/>
          <w:color w:val="1A1A2E"/>
          <w:sz w:val="22"/>
          <w:szCs w:val="22"/>
        </w:rPr>
        <w:t xml:space="preserve">Structure each page like a coral reef: dense with life, but every element in its place. The eye should drift naturally from surface to depth. The hero section is the water surface — familiar, warm, inviting. Sections below draw the visitor deeper. Nothing should feel random. Every element should have earned its position through function or beauty — ideally both.</w:t>
      </w:r>
    </w:p>
    <w:p>
      <w:pPr>
        <w:pStyle w:val="Heading3"/>
        <w:spacing w:before="240" w:after="60"/>
      </w:pPr>
      <w:r>
        <w:rPr>
          <w:rFonts w:ascii="Arial" w:cs="Arial" w:eastAsia="Arial" w:hAnsi="Arial"/>
          <w:b/>
          <w:bCs/>
          <w:color w:val="0077A8"/>
          <w:sz w:val="24"/>
          <w:szCs w:val="24"/>
        </w:rPr>
        <w:t xml:space="preserve">II. Light &amp; Contrast — The Two Registers (Rembrandt)</w:t>
      </w:r>
    </w:p>
    <w:p>
      <w:pPr>
        <w:spacing w:before="80" w:after="120"/>
      </w:pPr>
      <w:r>
        <w:rPr>
          <w:rFonts w:ascii="Arial" w:cs="Arial" w:eastAsia="Arial" w:hAnsi="Arial"/>
          <w:b w:val="false"/>
          <w:bCs w:val="false"/>
          <w:i w:val="false"/>
          <w:iCs w:val="false"/>
          <w:color w:val="1A1A2E"/>
          <w:sz w:val="22"/>
          <w:szCs w:val="22"/>
        </w:rPr>
        <w:t xml:space="preserve">The Maldivian ocean has two emotional registers: the blinding tropical noon of a sandbank trip and the cool bioluminescent dark of a night dive. The design uses both. The manta ray section should feel like it exists ten metres below the surface — deep colour, dramatic shadow, a shaft of light from above. The beach and accommodation sections should feel like 3pm sun on white sand.</w:t>
      </w:r>
    </w:p>
    <w:p>
      <w:pPr>
        <w:pStyle w:val="Heading3"/>
        <w:spacing w:before="240" w:after="60"/>
      </w:pPr>
      <w:r>
        <w:rPr>
          <w:rFonts w:ascii="Arial" w:cs="Arial" w:eastAsia="Arial" w:hAnsi="Arial"/>
          <w:b/>
          <w:bCs/>
          <w:color w:val="0077A8"/>
          <w:sz w:val="24"/>
          <w:szCs w:val="24"/>
        </w:rPr>
        <w:t xml:space="preserve">III. Typography as Destination (Vignelli)</w:t>
      </w:r>
    </w:p>
    <w:p>
      <w:pPr>
        <w:spacing w:before="80" w:after="120"/>
      </w:pPr>
      <w:r>
        <w:rPr>
          <w:rFonts w:ascii="Arial" w:cs="Arial" w:eastAsia="Arial" w:hAnsi="Arial"/>
          <w:b w:val="false"/>
          <w:bCs w:val="false"/>
          <w:i w:val="false"/>
          <w:iCs w:val="false"/>
          <w:color w:val="1A1A2E"/>
          <w:sz w:val="22"/>
          <w:szCs w:val="22"/>
        </w:rPr>
        <w:t xml:space="preserve">"Hanifaru Bay." "Manta Madness." "Baa Atoll Biosphere Reserve." These are not labels — they are destinations. They must be set with authority. Large, unhurried, National Geographic pull-quote weight. Body copy should read like a dive briefing: precise, calm, trustworthy. No clutter. No filler.</w:t>
      </w:r>
    </w:p>
    <w:p>
      <w:pPr>
        <w:pStyle w:val="Heading3"/>
        <w:spacing w:before="240" w:after="60"/>
      </w:pPr>
      <w:r>
        <w:rPr>
          <w:rFonts w:ascii="Arial" w:cs="Arial" w:eastAsia="Arial" w:hAnsi="Arial"/>
          <w:b/>
          <w:bCs/>
          <w:color w:val="0077A8"/>
          <w:sz w:val="24"/>
          <w:szCs w:val="24"/>
        </w:rPr>
        <w:t xml:space="preserve">IV. Atmosphere — The Feeling of Weightlessness (Turner)</w:t>
      </w:r>
    </w:p>
    <w:p>
      <w:pPr>
        <w:spacing w:before="80" w:after="120"/>
      </w:pPr>
      <w:r>
        <w:rPr>
          <w:rFonts w:ascii="Arial" w:cs="Arial" w:eastAsia="Arial" w:hAnsi="Arial"/>
          <w:b w:val="false"/>
          <w:bCs w:val="false"/>
          <w:i w:val="false"/>
          <w:iCs w:val="false"/>
          <w:color w:val="1A1A2E"/>
          <w:sz w:val="22"/>
          <w:szCs w:val="22"/>
        </w:rPr>
        <w:t xml:space="preserve">Convey the sensation of being underwater. Movement. Refracted light. The space between sections should feel like the pause before a manta ray passes beneath you. CSS transitions and scroll-triggered animations should suggest the rhythm of water, not the jerk of a JavaScript slider.</w:t>
      </w:r>
    </w:p>
    <w:p>
      <w:pPr>
        <w:pStyle w:val="Heading3"/>
        <w:spacing w:before="240" w:after="60"/>
      </w:pPr>
      <w:r>
        <w:rPr>
          <w:rFonts w:ascii="Arial" w:cs="Arial" w:eastAsia="Arial" w:hAnsi="Arial"/>
          <w:b/>
          <w:bCs/>
          <w:color w:val="0077A8"/>
          <w:sz w:val="24"/>
          <w:szCs w:val="24"/>
        </w:rPr>
        <w:t xml:space="preserve">V. Rhythm — The Descent (Beethoven)</w:t>
      </w:r>
    </w:p>
    <w:p>
      <w:pPr>
        <w:spacing w:before="80" w:after="120"/>
      </w:pPr>
      <w:r>
        <w:rPr>
          <w:rFonts w:ascii="Arial" w:cs="Arial" w:eastAsia="Arial" w:hAnsi="Arial"/>
          <w:b w:val="false"/>
          <w:bCs w:val="false"/>
          <w:i w:val="false"/>
          <w:iCs w:val="false"/>
          <w:color w:val="1A1A2E"/>
          <w:sz w:val="22"/>
          <w:szCs w:val="22"/>
        </w:rPr>
        <w:t xml:space="preserve">The page builds like a dive. The hero is the surface — warm, familiar, inviting. Activities pull you deeper. Packages are the moment of full immersion. Team profiles and social proof are the slow, peaceful ascent. Every section should feel like a movement in a piece of music — necessary, timed, building toward something.</w:t>
      </w:r>
    </w:p>
    <w:p>
      <w:pPr>
        <w:spacing w:before="120" w:after="120"/>
      </w:pPr>
    </w:p>
    <w:p>
      <w:pPr>
        <w:pStyle w:val="Heading2"/>
        <w:spacing w:before="360" w:after="80"/>
      </w:pPr>
      <w:r>
        <w:rPr>
          <w:rFonts w:ascii="Arial" w:cs="Arial" w:eastAsia="Arial" w:hAnsi="Arial"/>
          <w:b/>
          <w:bCs/>
          <w:color w:val="003B5C"/>
          <w:sz w:val="28"/>
          <w:szCs w:val="28"/>
        </w:rPr>
        <w:t xml:space="preserve">5.2 Colour System</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2760"/>
      </w:tblGrid>
      <w:tr>
        <w:trPr>
          <w:tblHeader/>
        </w:trPr>
        <w:tc>
          <w:tcPr>
            <w:tcW w:type="dxa" w:w="2200"/>
            <w:tcBorders>
              <w:top w:val="single" w:color="BFCFDB" w:sz="1"/>
              <w:left w:val="single" w:color="BFCFDB" w:sz="1"/>
              <w:bottom w:val="single" w:color="BFCFDB" w:sz="1"/>
              <w:right w:val="single" w:color="BFCFDB" w:sz="1"/>
            </w:tcBorders>
            <w:shd w:fill="003B5C" w:val="clear"/>
            <w:tcMar>
              <w:top w:type="dxa" w:w="100"/>
              <w:left w:type="dxa" w:w="140"/>
              <w:bottom w:type="dxa" w:w="100"/>
              <w:right w:type="dxa" w:w="140"/>
            </w:tcMar>
          </w:tcPr>
          <w:p>
            <w:r>
              <w:rPr>
                <w:rFonts w:ascii="Arial" w:cs="Arial" w:eastAsia="Arial" w:hAnsi="Arial"/>
                <w:b/>
                <w:bCs/>
                <w:color w:val="FFFFFF"/>
                <w:sz w:val="20"/>
                <w:szCs w:val="20"/>
              </w:rPr>
              <w:t xml:space="preserve">Token</w:t>
            </w:r>
          </w:p>
        </w:tc>
        <w:tc>
          <w:tcPr>
            <w:tcW w:type="dxa" w:w="1600"/>
            <w:tcBorders>
              <w:top w:val="single" w:color="BFCFDB" w:sz="1"/>
              <w:left w:val="single" w:color="BFCFDB" w:sz="1"/>
              <w:bottom w:val="single" w:color="BFCFDB" w:sz="1"/>
              <w:right w:val="single" w:color="BFCFDB" w:sz="1"/>
            </w:tcBorders>
            <w:shd w:fill="003B5C" w:val="clear"/>
            <w:tcMar>
              <w:top w:type="dxa" w:w="100"/>
              <w:left w:type="dxa" w:w="140"/>
              <w:bottom w:type="dxa" w:w="100"/>
              <w:right w:type="dxa" w:w="140"/>
            </w:tcMar>
          </w:tcPr>
          <w:p>
            <w:r>
              <w:rPr>
                <w:rFonts w:ascii="Arial" w:cs="Arial" w:eastAsia="Arial" w:hAnsi="Arial"/>
                <w:b/>
                <w:bCs/>
                <w:color w:val="FFFFFF"/>
                <w:sz w:val="20"/>
                <w:szCs w:val="20"/>
              </w:rPr>
              <w:t xml:space="preserve">Hex</w:t>
            </w:r>
          </w:p>
        </w:tc>
        <w:tc>
          <w:tcPr>
            <w:tcW w:type="dxa" w:w="2000"/>
            <w:tcBorders>
              <w:top w:val="single" w:color="BFCFDB" w:sz="1"/>
              <w:left w:val="single" w:color="BFCFDB" w:sz="1"/>
              <w:bottom w:val="single" w:color="BFCFDB" w:sz="1"/>
              <w:right w:val="single" w:color="BFCFDB" w:sz="1"/>
            </w:tcBorders>
            <w:shd w:fill="003B5C"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2760"/>
            <w:tcBorders>
              <w:top w:val="single" w:color="BFCFDB" w:sz="1"/>
              <w:left w:val="single" w:color="BFCFDB" w:sz="1"/>
              <w:bottom w:val="single" w:color="BFCFDB" w:sz="1"/>
              <w:right w:val="single" w:color="BFCFDB" w:sz="1"/>
            </w:tcBorders>
            <w:shd w:fill="003B5C" w:val="clear"/>
            <w:tcMar>
              <w:top w:type="dxa" w:w="100"/>
              <w:left w:type="dxa" w:w="140"/>
              <w:bottom w:type="dxa" w:w="100"/>
              <w:right w:type="dxa" w:w="140"/>
            </w:tcMar>
          </w:tcPr>
          <w:p>
            <w:r>
              <w:rPr>
                <w:rFonts w:ascii="Arial" w:cs="Arial" w:eastAsia="Arial" w:hAnsi="Arial"/>
                <w:b/>
                <w:bCs/>
                <w:color w:val="FFFFFF"/>
                <w:sz w:val="20"/>
                <w:szCs w:val="20"/>
              </w:rPr>
              <w:t xml:space="preserve">Usage</w:t>
            </w:r>
          </w:p>
        </w:tc>
      </w:tr>
      <w:tr>
        <w:tc>
          <w:tcPr>
            <w:tcW w:type="dxa" w:w="22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--color-deep-ocean</w:t>
            </w:r>
          </w:p>
        </w:tc>
        <w:tc>
          <w:tcPr>
            <w:tcW w:type="dxa" w:w="16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#003B5C</w:t>
            </w:r>
          </w:p>
        </w:tc>
        <w:tc>
          <w:tcPr>
            <w:tcW w:type="dxa" w:w="20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Deep Ocean Navy</w:t>
            </w:r>
          </w:p>
        </w:tc>
        <w:tc>
          <w:tcPr>
            <w:tcW w:type="dxa" w:w="276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Primary brand, headings, nav background</w:t>
            </w:r>
          </w:p>
        </w:tc>
      </w:tr>
      <w:tr>
        <w:tc>
          <w:tcPr>
            <w:tcW w:type="dxa" w:w="22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--color-bioluminescent</w:t>
            </w:r>
          </w:p>
        </w:tc>
        <w:tc>
          <w:tcPr>
            <w:tcW w:type="dxa" w:w="16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#00B4D8</w:t>
            </w:r>
          </w:p>
        </w:tc>
        <w:tc>
          <w:tcPr>
            <w:tcW w:type="dxa" w:w="20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Bioluminescent Cyan</w:t>
            </w:r>
          </w:p>
        </w:tc>
        <w:tc>
          <w:tcPr>
            <w:tcW w:type="dxa" w:w="276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CTAs, highlights, active states, rule lines</w:t>
            </w:r>
          </w:p>
        </w:tc>
      </w:tr>
      <w:tr>
        <w:tc>
          <w:tcPr>
            <w:tcW w:type="dxa" w:w="22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--color-reef-teal</w:t>
            </w:r>
          </w:p>
        </w:tc>
        <w:tc>
          <w:tcPr>
            <w:tcW w:type="dxa" w:w="16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#0077A8</w:t>
            </w:r>
          </w:p>
        </w:tc>
        <w:tc>
          <w:tcPr>
            <w:tcW w:type="dxa" w:w="20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Reef Teal</w:t>
            </w:r>
          </w:p>
        </w:tc>
        <w:tc>
          <w:tcPr>
            <w:tcW w:type="dxa" w:w="276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Secondary text, subheadings, hover states</w:t>
            </w:r>
          </w:p>
        </w:tc>
      </w:tr>
      <w:tr>
        <w:tc>
          <w:tcPr>
            <w:tcW w:type="dxa" w:w="22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--color-coral-gold</w:t>
            </w:r>
          </w:p>
        </w:tc>
        <w:tc>
          <w:tcPr>
            <w:tcW w:type="dxa" w:w="16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#C9860A</w:t>
            </w:r>
          </w:p>
        </w:tc>
        <w:tc>
          <w:tcPr>
            <w:tcW w:type="dxa" w:w="20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Coral Gold</w:t>
            </w:r>
          </w:p>
        </w:tc>
        <w:tc>
          <w:tcPr>
            <w:tcW w:type="dxa" w:w="276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Accents, badges, pricing emphasis, dividers</w:t>
            </w:r>
          </w:p>
        </w:tc>
      </w:tr>
      <w:tr>
        <w:tc>
          <w:tcPr>
            <w:tcW w:type="dxa" w:w="22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--color-salt-white</w:t>
            </w:r>
          </w:p>
        </w:tc>
        <w:tc>
          <w:tcPr>
            <w:tcW w:type="dxa" w:w="16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#F0F8FF</w:t>
            </w:r>
          </w:p>
        </w:tc>
        <w:tc>
          <w:tcPr>
            <w:tcW w:type="dxa" w:w="20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Salt White</w:t>
            </w:r>
          </w:p>
        </w:tc>
        <w:tc>
          <w:tcPr>
            <w:tcW w:type="dxa" w:w="276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Light section backgrounds, card backgrounds</w:t>
            </w:r>
          </w:p>
        </w:tc>
      </w:tr>
      <w:tr>
        <w:tc>
          <w:tcPr>
            <w:tcW w:type="dxa" w:w="22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--color-manta-black</w:t>
            </w:r>
          </w:p>
        </w:tc>
        <w:tc>
          <w:tcPr>
            <w:tcW w:type="dxa" w:w="16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#1A1A2E</w:t>
            </w:r>
          </w:p>
        </w:tc>
        <w:tc>
          <w:tcPr>
            <w:tcW w:type="dxa" w:w="20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Manta Black</w:t>
            </w:r>
          </w:p>
        </w:tc>
        <w:tc>
          <w:tcPr>
            <w:tcW w:type="dxa" w:w="276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Body text, deep section backgrounds</w:t>
            </w:r>
          </w:p>
        </w:tc>
      </w:tr>
      <w:tr>
        <w:tc>
          <w:tcPr>
            <w:tcW w:type="dxa" w:w="22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--color-sand</w:t>
            </w:r>
          </w:p>
        </w:tc>
        <w:tc>
          <w:tcPr>
            <w:tcW w:type="dxa" w:w="16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#F5F0E8</w:t>
            </w:r>
          </w:p>
        </w:tc>
        <w:tc>
          <w:tcPr>
            <w:tcW w:type="dxa" w:w="20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Warm Sand</w:t>
            </w:r>
          </w:p>
        </w:tc>
        <w:tc>
          <w:tcPr>
            <w:tcW w:type="dxa" w:w="276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Accommodation sections, light alternating rows</w:t>
            </w:r>
          </w:p>
        </w:tc>
      </w:tr>
      <w:tr>
        <w:tc>
          <w:tcPr>
            <w:tcW w:type="dxa" w:w="22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--color-night-dive</w:t>
            </w:r>
          </w:p>
        </w:tc>
        <w:tc>
          <w:tcPr>
            <w:tcW w:type="dxa" w:w="16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#0A0F1E</w:t>
            </w:r>
          </w:p>
        </w:tc>
        <w:tc>
          <w:tcPr>
            <w:tcW w:type="dxa" w:w="20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Night Dive Black</w:t>
            </w:r>
          </w:p>
        </w:tc>
        <w:tc>
          <w:tcPr>
            <w:tcW w:type="dxa" w:w="276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Night section backgrounds, immersive panels</w:t>
            </w:r>
          </w:p>
        </w:tc>
      </w:tr>
    </w:tbl>
    <w:p>
      <w:pPr>
        <w:spacing w:before="120" w:after="120"/>
      </w:pPr>
    </w:p>
    <w:p>
      <w:pPr>
        <w:pStyle w:val="Heading2"/>
        <w:spacing w:before="360" w:after="80"/>
      </w:pPr>
      <w:r>
        <w:rPr>
          <w:rFonts w:ascii="Arial" w:cs="Arial" w:eastAsia="Arial" w:hAnsi="Arial"/>
          <w:b/>
          <w:bCs/>
          <w:color w:val="003B5C"/>
          <w:sz w:val="28"/>
          <w:szCs w:val="28"/>
        </w:rPr>
        <w:t xml:space="preserve">5.3 Typography System</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1800"/>
        <w:gridCol w:w="1760"/>
      </w:tblGrid>
      <w:tr>
        <w:trPr>
          <w:tblHeader/>
        </w:trPr>
        <w:tc>
          <w:tcPr>
            <w:tcW w:type="dxa" w:w="2200"/>
            <w:tcBorders>
              <w:top w:val="single" w:color="BFCFDB" w:sz="1"/>
              <w:left w:val="single" w:color="BFCFDB" w:sz="1"/>
              <w:bottom w:val="single" w:color="BFCFDB" w:sz="1"/>
              <w:right w:val="single" w:color="BFCFDB" w:sz="1"/>
            </w:tcBorders>
            <w:shd w:fill="003B5C"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2200"/>
            <w:tcBorders>
              <w:top w:val="single" w:color="BFCFDB" w:sz="1"/>
              <w:left w:val="single" w:color="BFCFDB" w:sz="1"/>
              <w:bottom w:val="single" w:color="BFCFDB" w:sz="1"/>
              <w:right w:val="single" w:color="BFCFDB" w:sz="1"/>
            </w:tcBorders>
            <w:shd w:fill="003B5C" w:val="clear"/>
            <w:tcMar>
              <w:top w:type="dxa" w:w="100"/>
              <w:left w:type="dxa" w:w="140"/>
              <w:bottom w:type="dxa" w:w="100"/>
              <w:right w:type="dxa" w:w="140"/>
            </w:tcMar>
          </w:tcPr>
          <w:p>
            <w:r>
              <w:rPr>
                <w:rFonts w:ascii="Arial" w:cs="Arial" w:eastAsia="Arial" w:hAnsi="Arial"/>
                <w:b/>
                <w:bCs/>
                <w:color w:val="FFFFFF"/>
                <w:sz w:val="20"/>
                <w:szCs w:val="20"/>
              </w:rPr>
              <w:t xml:space="preserve">Font</w:t>
            </w:r>
          </w:p>
        </w:tc>
        <w:tc>
          <w:tcPr>
            <w:tcW w:type="dxa" w:w="1600"/>
            <w:tcBorders>
              <w:top w:val="single" w:color="BFCFDB" w:sz="1"/>
              <w:left w:val="single" w:color="BFCFDB" w:sz="1"/>
              <w:bottom w:val="single" w:color="BFCFDB" w:sz="1"/>
              <w:right w:val="single" w:color="BFCFDB" w:sz="1"/>
            </w:tcBorders>
            <w:shd w:fill="003B5C" w:val="clear"/>
            <w:tcMar>
              <w:top w:type="dxa" w:w="100"/>
              <w:left w:type="dxa" w:w="140"/>
              <w:bottom w:type="dxa" w:w="100"/>
              <w:right w:type="dxa" w:w="140"/>
            </w:tcMar>
          </w:tcPr>
          <w:p>
            <w:r>
              <w:rPr>
                <w:rFonts w:ascii="Arial" w:cs="Arial" w:eastAsia="Arial" w:hAnsi="Arial"/>
                <w:b/>
                <w:bCs/>
                <w:color w:val="FFFFFF"/>
                <w:sz w:val="20"/>
                <w:szCs w:val="20"/>
              </w:rPr>
              <w:t xml:space="preserve">Weight</w:t>
            </w:r>
          </w:p>
        </w:tc>
        <w:tc>
          <w:tcPr>
            <w:tcW w:type="dxa" w:w="1800"/>
            <w:tcBorders>
              <w:top w:val="single" w:color="BFCFDB" w:sz="1"/>
              <w:left w:val="single" w:color="BFCFDB" w:sz="1"/>
              <w:bottom w:val="single" w:color="BFCFDB" w:sz="1"/>
              <w:right w:val="single" w:color="BFCFDB" w:sz="1"/>
            </w:tcBorders>
            <w:shd w:fill="003B5C" w:val="clear"/>
            <w:tcMar>
              <w:top w:type="dxa" w:w="100"/>
              <w:left w:type="dxa" w:w="140"/>
              <w:bottom w:type="dxa" w:w="100"/>
              <w:right w:type="dxa" w:w="140"/>
            </w:tcMar>
          </w:tcPr>
          <w:p>
            <w:r>
              <w:rPr>
                <w:rFonts w:ascii="Arial" w:cs="Arial" w:eastAsia="Arial" w:hAnsi="Arial"/>
                <w:b/>
                <w:bCs/>
                <w:color w:val="FFFFFF"/>
                <w:sz w:val="20"/>
                <w:szCs w:val="20"/>
              </w:rPr>
              <w:t xml:space="preserve">Size (Desktop)</w:t>
            </w:r>
          </w:p>
        </w:tc>
        <w:tc>
          <w:tcPr>
            <w:tcW w:type="dxa" w:w="1760"/>
            <w:tcBorders>
              <w:top w:val="single" w:color="BFCFDB" w:sz="1"/>
              <w:left w:val="single" w:color="BFCFDB" w:sz="1"/>
              <w:bottom w:val="single" w:color="BFCFDB" w:sz="1"/>
              <w:right w:val="single" w:color="BFCFDB" w:sz="1"/>
            </w:tcBorders>
            <w:shd w:fill="003B5C" w:val="clear"/>
            <w:tcMar>
              <w:top w:type="dxa" w:w="100"/>
              <w:left w:type="dxa" w:w="140"/>
              <w:bottom w:type="dxa" w:w="100"/>
              <w:right w:type="dxa" w:w="140"/>
            </w:tcMar>
          </w:tcPr>
          <w:p>
            <w:r>
              <w:rPr>
                <w:rFonts w:ascii="Arial" w:cs="Arial" w:eastAsia="Arial" w:hAnsi="Arial"/>
                <w:b/>
                <w:bCs/>
                <w:color w:val="FFFFFF"/>
                <w:sz w:val="20"/>
                <w:szCs w:val="20"/>
              </w:rPr>
              <w:t xml:space="preserve">Usage</w:t>
            </w:r>
          </w:p>
        </w:tc>
      </w:tr>
      <w:tr>
        <w:tc>
          <w:tcPr>
            <w:tcW w:type="dxa" w:w="22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Display / Hero</w:t>
            </w:r>
          </w:p>
        </w:tc>
        <w:tc>
          <w:tcPr>
            <w:tcW w:type="dxa" w:w="22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Playfair Display</w:t>
            </w:r>
          </w:p>
        </w:tc>
        <w:tc>
          <w:tcPr>
            <w:tcW w:type="dxa" w:w="16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700 Bold</w:t>
            </w:r>
          </w:p>
        </w:tc>
        <w:tc>
          <w:tcPr>
            <w:tcW w:type="dxa" w:w="18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72–96px</w:t>
            </w:r>
          </w:p>
        </w:tc>
        <w:tc>
          <w:tcPr>
            <w:tcW w:type="dxa" w:w="176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Hero tagline, section pull quotes</w:t>
            </w:r>
          </w:p>
        </w:tc>
      </w:tr>
      <w:tr>
        <w:tc>
          <w:tcPr>
            <w:tcW w:type="dxa" w:w="22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Headline H1</w:t>
            </w:r>
          </w:p>
        </w:tc>
        <w:tc>
          <w:tcPr>
            <w:tcW w:type="dxa" w:w="22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Playfair Display</w:t>
            </w:r>
          </w:p>
        </w:tc>
        <w:tc>
          <w:tcPr>
            <w:tcW w:type="dxa" w:w="16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600</w:t>
            </w:r>
          </w:p>
        </w:tc>
        <w:tc>
          <w:tcPr>
            <w:tcW w:type="dxa" w:w="18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48–64px</w:t>
            </w:r>
          </w:p>
        </w:tc>
        <w:tc>
          <w:tcPr>
            <w:tcW w:type="dxa" w:w="176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Page and section headlines</w:t>
            </w:r>
          </w:p>
        </w:tc>
      </w:tr>
      <w:tr>
        <w:tc>
          <w:tcPr>
            <w:tcW w:type="dxa" w:w="22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Headline H2</w:t>
            </w:r>
          </w:p>
        </w:tc>
        <w:tc>
          <w:tcPr>
            <w:tcW w:type="dxa" w:w="22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Inter</w:t>
            </w:r>
          </w:p>
        </w:tc>
        <w:tc>
          <w:tcPr>
            <w:tcW w:type="dxa" w:w="16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700 Bold</w:t>
            </w:r>
          </w:p>
        </w:tc>
        <w:tc>
          <w:tcPr>
            <w:tcW w:type="dxa" w:w="18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32–40px</w:t>
            </w:r>
          </w:p>
        </w:tc>
        <w:tc>
          <w:tcPr>
            <w:tcW w:type="dxa" w:w="176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Sub-section headers</w:t>
            </w:r>
          </w:p>
        </w:tc>
      </w:tr>
      <w:tr>
        <w:tc>
          <w:tcPr>
            <w:tcW w:type="dxa" w:w="22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Headline H3</w:t>
            </w:r>
          </w:p>
        </w:tc>
        <w:tc>
          <w:tcPr>
            <w:tcW w:type="dxa" w:w="22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Inter</w:t>
            </w:r>
          </w:p>
        </w:tc>
        <w:tc>
          <w:tcPr>
            <w:tcW w:type="dxa" w:w="16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600 SemiBold</w:t>
            </w:r>
          </w:p>
        </w:tc>
        <w:tc>
          <w:tcPr>
            <w:tcW w:type="dxa" w:w="18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24–28px</w:t>
            </w:r>
          </w:p>
        </w:tc>
        <w:tc>
          <w:tcPr>
            <w:tcW w:type="dxa" w:w="176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Card titles, feature labels</w:t>
            </w:r>
          </w:p>
        </w:tc>
      </w:tr>
      <w:tr>
        <w:tc>
          <w:tcPr>
            <w:tcW w:type="dxa" w:w="22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Body</w:t>
            </w:r>
          </w:p>
        </w:tc>
        <w:tc>
          <w:tcPr>
            <w:tcW w:type="dxa" w:w="22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Inter</w:t>
            </w:r>
          </w:p>
        </w:tc>
        <w:tc>
          <w:tcPr>
            <w:tcW w:type="dxa" w:w="16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400 Regular</w:t>
            </w:r>
          </w:p>
        </w:tc>
        <w:tc>
          <w:tcPr>
            <w:tcW w:type="dxa" w:w="18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16–18px</w:t>
            </w:r>
          </w:p>
        </w:tc>
        <w:tc>
          <w:tcPr>
            <w:tcW w:type="dxa" w:w="176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All body copy, descriptions</w:t>
            </w:r>
          </w:p>
        </w:tc>
      </w:tr>
      <w:tr>
        <w:tc>
          <w:tcPr>
            <w:tcW w:type="dxa" w:w="22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Caption / Label</w:t>
            </w:r>
          </w:p>
        </w:tc>
        <w:tc>
          <w:tcPr>
            <w:tcW w:type="dxa" w:w="22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Inter</w:t>
            </w:r>
          </w:p>
        </w:tc>
        <w:tc>
          <w:tcPr>
            <w:tcW w:type="dxa" w:w="16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500 Medium</w:t>
            </w:r>
          </w:p>
        </w:tc>
        <w:tc>
          <w:tcPr>
            <w:tcW w:type="dxa" w:w="18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12–14px</w:t>
            </w:r>
          </w:p>
        </w:tc>
        <w:tc>
          <w:tcPr>
            <w:tcW w:type="dxa" w:w="176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Image captions, metadata, badges</w:t>
            </w:r>
          </w:p>
        </w:tc>
      </w:tr>
      <w:tr>
        <w:tc>
          <w:tcPr>
            <w:tcW w:type="dxa" w:w="22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Nav</w:t>
            </w:r>
          </w:p>
        </w:tc>
        <w:tc>
          <w:tcPr>
            <w:tcW w:type="dxa" w:w="22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Inter</w:t>
            </w:r>
          </w:p>
        </w:tc>
        <w:tc>
          <w:tcPr>
            <w:tcW w:type="dxa" w:w="16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600 SemiBold</w:t>
            </w:r>
          </w:p>
        </w:tc>
        <w:tc>
          <w:tcPr>
            <w:tcW w:type="dxa" w:w="18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14–15px</w:t>
            </w:r>
          </w:p>
        </w:tc>
        <w:tc>
          <w:tcPr>
            <w:tcW w:type="dxa" w:w="176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Navigation links</w:t>
            </w:r>
          </w:p>
        </w:tc>
      </w:tr>
      <w:tr>
        <w:tc>
          <w:tcPr>
            <w:tcW w:type="dxa" w:w="22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Pull Quote</w:t>
            </w:r>
          </w:p>
        </w:tc>
        <w:tc>
          <w:tcPr>
            <w:tcW w:type="dxa" w:w="22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Playfair Display</w:t>
            </w:r>
          </w:p>
        </w:tc>
        <w:tc>
          <w:tcPr>
            <w:tcW w:type="dxa" w:w="16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400 Italic</w:t>
            </w:r>
          </w:p>
        </w:tc>
        <w:tc>
          <w:tcPr>
            <w:tcW w:type="dxa" w:w="18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24–28px</w:t>
            </w:r>
          </w:p>
        </w:tc>
        <w:tc>
          <w:tcPr>
            <w:tcW w:type="dxa" w:w="176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In-content quotes, testimonials</w:t>
            </w:r>
          </w:p>
        </w:tc>
      </w:tr>
    </w:tbl>
    <w:p>
      <w:pPr>
        <w:pBdr>
          <w:bottom w:val="single" w:color="00B4D8" w:sz="3" w:space="1"/>
        </w:pBdr>
        <w:spacing w:before="200" w:after="200"/>
      </w:pPr>
    </w:p>
    <w:p>
      <w:pPr>
        <w:spacing w:before="480" w:after="60"/>
      </w:pPr>
      <w:r>
        <w:rPr>
          <w:rFonts w:ascii="Arial" w:cs="Arial" w:eastAsia="Arial" w:hAnsi="Arial"/>
          <w:b/>
          <w:bCs/>
          <w:caps/>
          <w:color w:val="C9860A"/>
          <w:sz w:val="18"/>
          <w:szCs w:val="18"/>
        </w:rPr>
        <w:t xml:space="preserve">◆ Section 6</w:t>
      </w:r>
    </w:p>
    <w:p>
      <w:pPr>
        <w:pStyle w:val="Heading1"/>
        <w:pBdr>
          <w:bottom w:val="single" w:color="00B4D8" w:sz="6" w:space="1"/>
        </w:pBdr>
        <w:spacing w:before="480" w:after="120"/>
      </w:pPr>
      <w:r>
        <w:rPr>
          <w:rFonts w:ascii="Arial" w:cs="Arial" w:eastAsia="Arial" w:hAnsi="Arial"/>
          <w:b/>
          <w:bCs/>
          <w:color w:val="003B5C"/>
          <w:sz w:val="36"/>
          <w:szCs w:val="36"/>
        </w:rPr>
        <w:t xml:space="preserve">6. Site Architecture &amp; Page Inventory</w:t>
      </w:r>
    </w:p>
    <w:p>
      <w:pPr>
        <w:pStyle w:val="Heading2"/>
        <w:spacing w:before="360" w:after="80"/>
      </w:pPr>
      <w:r>
        <w:rPr>
          <w:rFonts w:ascii="Arial" w:cs="Arial" w:eastAsia="Arial" w:hAnsi="Arial"/>
          <w:b/>
          <w:bCs/>
          <w:color w:val="003B5C"/>
          <w:sz w:val="28"/>
          <w:szCs w:val="28"/>
        </w:rPr>
        <w:t xml:space="preserve">6.1 Navigation Structure</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800"/>
        <w:gridCol w:w="1160"/>
      </w:tblGrid>
      <w:tr>
        <w:trPr>
          <w:tblHeader/>
        </w:trPr>
        <w:tc>
          <w:tcPr>
            <w:tcW w:type="dxa" w:w="1800"/>
            <w:tcBorders>
              <w:top w:val="single" w:color="BFCFDB" w:sz="1"/>
              <w:left w:val="single" w:color="BFCFDB" w:sz="1"/>
              <w:bottom w:val="single" w:color="BFCFDB" w:sz="1"/>
              <w:right w:val="single" w:color="BFCFDB" w:sz="1"/>
            </w:tcBorders>
            <w:shd w:fill="003B5C" w:val="clear"/>
            <w:tcMar>
              <w:top w:type="dxa" w:w="100"/>
              <w:left w:type="dxa" w:w="140"/>
              <w:bottom w:type="dxa" w:w="100"/>
              <w:right w:type="dxa" w:w="140"/>
            </w:tcMar>
          </w:tcPr>
          <w:p>
            <w:r>
              <w:rPr>
                <w:rFonts w:ascii="Arial" w:cs="Arial" w:eastAsia="Arial" w:hAnsi="Arial"/>
                <w:b/>
                <w:bCs/>
                <w:color w:val="FFFFFF"/>
                <w:sz w:val="20"/>
                <w:szCs w:val="20"/>
              </w:rPr>
              <w:t xml:space="preserve">Level 1</w:t>
            </w:r>
          </w:p>
        </w:tc>
        <w:tc>
          <w:tcPr>
            <w:tcW w:type="dxa" w:w="2800"/>
            <w:tcBorders>
              <w:top w:val="single" w:color="BFCFDB" w:sz="1"/>
              <w:left w:val="single" w:color="BFCFDB" w:sz="1"/>
              <w:bottom w:val="single" w:color="BFCFDB" w:sz="1"/>
              <w:right w:val="single" w:color="BFCFDB" w:sz="1"/>
            </w:tcBorders>
            <w:shd w:fill="003B5C" w:val="clear"/>
            <w:tcMar>
              <w:top w:type="dxa" w:w="100"/>
              <w:left w:type="dxa" w:w="140"/>
              <w:bottom w:type="dxa" w:w="100"/>
              <w:right w:type="dxa" w:w="140"/>
            </w:tcMar>
          </w:tcPr>
          <w:p>
            <w:r>
              <w:rPr>
                <w:rFonts w:ascii="Arial" w:cs="Arial" w:eastAsia="Arial" w:hAnsi="Arial"/>
                <w:b/>
                <w:bCs/>
                <w:color w:val="FFFFFF"/>
                <w:sz w:val="20"/>
                <w:szCs w:val="20"/>
              </w:rPr>
              <w:t xml:space="preserve">Level 2 (Dropdown)</w:t>
            </w:r>
          </w:p>
        </w:tc>
        <w:tc>
          <w:tcPr>
            <w:tcW w:type="dxa" w:w="1800"/>
            <w:tcBorders>
              <w:top w:val="single" w:color="BFCFDB" w:sz="1"/>
              <w:left w:val="single" w:color="BFCFDB" w:sz="1"/>
              <w:bottom w:val="single" w:color="BFCFDB" w:sz="1"/>
              <w:right w:val="single" w:color="BFCFDB" w:sz="1"/>
            </w:tcBorders>
            <w:shd w:fill="003B5C" w:val="clear"/>
            <w:tcMar>
              <w:top w:type="dxa" w:w="100"/>
              <w:left w:type="dxa" w:w="140"/>
              <w:bottom w:type="dxa" w:w="100"/>
              <w:right w:type="dxa" w:w="140"/>
            </w:tcMar>
          </w:tcPr>
          <w:p>
            <w:r>
              <w:rPr>
                <w:rFonts w:ascii="Arial" w:cs="Arial" w:eastAsia="Arial" w:hAnsi="Arial"/>
                <w:b/>
                <w:bCs/>
                <w:color w:val="FFFFFF"/>
                <w:sz w:val="20"/>
                <w:szCs w:val="20"/>
              </w:rPr>
              <w:t xml:space="preserve">Page Type</w:t>
            </w:r>
          </w:p>
        </w:tc>
        <w:tc>
          <w:tcPr>
            <w:tcW w:type="dxa" w:w="1160"/>
            <w:tcBorders>
              <w:top w:val="single" w:color="BFCFDB" w:sz="1"/>
              <w:left w:val="single" w:color="BFCFDB" w:sz="1"/>
              <w:bottom w:val="single" w:color="BFCFDB" w:sz="1"/>
              <w:right w:val="single" w:color="BFCFDB" w:sz="1"/>
            </w:tcBorders>
            <w:shd w:fill="003B5C"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18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Home</w:t>
            </w:r>
          </w:p>
        </w:tc>
        <w:tc>
          <w:tcPr>
            <w:tcW w:type="dxa" w:w="28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18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Landing</w:t>
            </w:r>
          </w:p>
        </w:tc>
        <w:tc>
          <w:tcPr>
            <w:tcW w:type="dxa" w:w="116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P0 — Critical</w:t>
            </w:r>
          </w:p>
        </w:tc>
      </w:tr>
      <w:tr>
        <w:tc>
          <w:tcPr>
            <w:tcW w:type="dxa" w:w="18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Diving</w:t>
            </w:r>
          </w:p>
        </w:tc>
        <w:tc>
          <w:tcPr>
            <w:tcW w:type="dxa" w:w="28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Dive Sites · Marine Life · Site Map</w:t>
            </w:r>
          </w:p>
        </w:tc>
        <w:tc>
          <w:tcPr>
            <w:tcW w:type="dxa" w:w="18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Content Hub</w:t>
            </w:r>
          </w:p>
        </w:tc>
        <w:tc>
          <w:tcPr>
            <w:tcW w:type="dxa" w:w="116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P0</w:t>
            </w:r>
          </w:p>
        </w:tc>
      </w:tr>
      <w:tr>
        <w:tc>
          <w:tcPr>
            <w:tcW w:type="dxa" w:w="18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Courses</w:t>
            </w:r>
          </w:p>
        </w:tc>
        <w:tc>
          <w:tcPr>
            <w:tcW w:type="dxa" w:w="28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Discover Scuba · Open Water · Advanced · Rescue · Divemaster · Bubble Maker · NITROX</w:t>
            </w:r>
          </w:p>
        </w:tc>
        <w:tc>
          <w:tcPr>
            <w:tcW w:type="dxa" w:w="18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Course Pages</w:t>
            </w:r>
          </w:p>
        </w:tc>
        <w:tc>
          <w:tcPr>
            <w:tcW w:type="dxa" w:w="116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P0</w:t>
            </w:r>
          </w:p>
        </w:tc>
      </w:tr>
      <w:tr>
        <w:tc>
          <w:tcPr>
            <w:tcW w:type="dxa" w:w="18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Packages</w:t>
            </w:r>
          </w:p>
        </w:tc>
        <w:tc>
          <w:tcPr>
            <w:tcW w:type="dxa" w:w="28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Manta Madness · Dive Dive Dive · Dive Hanifaru</w:t>
            </w:r>
          </w:p>
        </w:tc>
        <w:tc>
          <w:tcPr>
            <w:tcW w:type="dxa" w:w="18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Package Pages</w:t>
            </w:r>
          </w:p>
        </w:tc>
        <w:tc>
          <w:tcPr>
            <w:tcW w:type="dxa" w:w="116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P0</w:t>
            </w:r>
          </w:p>
        </w:tc>
      </w:tr>
      <w:tr>
        <w:tc>
          <w:tcPr>
            <w:tcW w:type="dxa" w:w="18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Excursions</w:t>
            </w:r>
          </w:p>
        </w:tc>
        <w:tc>
          <w:tcPr>
            <w:tcW w:type="dxa" w:w="28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Snorkelling · Sandbank · Night Snorkel · Big Game Fishing</w:t>
            </w:r>
          </w:p>
        </w:tc>
        <w:tc>
          <w:tcPr>
            <w:tcW w:type="dxa" w:w="18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Excursion Pages</w:t>
            </w:r>
          </w:p>
        </w:tc>
        <w:tc>
          <w:tcPr>
            <w:tcW w:type="dxa" w:w="116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P1</w:t>
            </w:r>
          </w:p>
        </w:tc>
      </w:tr>
      <w:tr>
        <w:tc>
          <w:tcPr>
            <w:tcW w:type="dxa" w:w="18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Marine Life</w:t>
            </w:r>
          </w:p>
        </w:tc>
        <w:tc>
          <w:tcPr>
            <w:tcW w:type="dxa" w:w="28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Manta Rays · Whale Sharks · Reef Life</w:t>
            </w:r>
          </w:p>
        </w:tc>
        <w:tc>
          <w:tcPr>
            <w:tcW w:type="dxa" w:w="18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Content / SEO</w:t>
            </w:r>
          </w:p>
        </w:tc>
        <w:tc>
          <w:tcPr>
            <w:tcW w:type="dxa" w:w="116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P1</w:t>
            </w:r>
          </w:p>
        </w:tc>
      </w:tr>
      <w:tr>
        <w:tc>
          <w:tcPr>
            <w:tcW w:type="dxa" w:w="18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Accommodation</w:t>
            </w:r>
          </w:p>
        </w:tc>
        <w:tc>
          <w:tcPr>
            <w:tcW w:type="dxa" w:w="28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18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Partner Referral Hub</w:t>
            </w:r>
          </w:p>
        </w:tc>
        <w:tc>
          <w:tcPr>
            <w:tcW w:type="dxa" w:w="116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P1</w:t>
            </w:r>
          </w:p>
        </w:tc>
      </w:tr>
      <w:tr>
        <w:tc>
          <w:tcPr>
            <w:tcW w:type="dxa" w:w="18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Gallery</w:t>
            </w:r>
          </w:p>
        </w:tc>
        <w:tc>
          <w:tcPr>
            <w:tcW w:type="dxa" w:w="28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18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Media Grid</w:t>
            </w:r>
          </w:p>
        </w:tc>
        <w:tc>
          <w:tcPr>
            <w:tcW w:type="dxa" w:w="116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P1</w:t>
            </w:r>
          </w:p>
        </w:tc>
      </w:tr>
      <w:tr>
        <w:tc>
          <w:tcPr>
            <w:tcW w:type="dxa" w:w="18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About</w:t>
            </w:r>
          </w:p>
        </w:tc>
        <w:tc>
          <w:tcPr>
            <w:tcW w:type="dxa" w:w="28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Our Story · Meet the Team · Conservation</w:t>
            </w:r>
          </w:p>
        </w:tc>
        <w:tc>
          <w:tcPr>
            <w:tcW w:type="dxa" w:w="18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Brand Pages</w:t>
            </w:r>
          </w:p>
        </w:tc>
        <w:tc>
          <w:tcPr>
            <w:tcW w:type="dxa" w:w="116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P1</w:t>
            </w:r>
          </w:p>
        </w:tc>
      </w:tr>
      <w:tr>
        <w:tc>
          <w:tcPr>
            <w:tcW w:type="dxa" w:w="18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Contact / Book</w:t>
            </w:r>
          </w:p>
        </w:tc>
        <w:tc>
          <w:tcPr>
            <w:tcW w:type="dxa" w:w="28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18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Conversion Page</w:t>
            </w:r>
          </w:p>
        </w:tc>
        <w:tc>
          <w:tcPr>
            <w:tcW w:type="dxa" w:w="116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P0</w:t>
            </w:r>
          </w:p>
        </w:tc>
      </w:tr>
    </w:tbl>
    <w:p>
      <w:pPr>
        <w:pBdr>
          <w:bottom w:val="single" w:color="00B4D8" w:sz="3" w:space="1"/>
        </w:pBdr>
        <w:spacing w:before="200" w:after="200"/>
      </w:pPr>
    </w:p>
    <w:p>
      <w:pPr>
        <w:spacing w:before="480" w:after="60"/>
      </w:pPr>
      <w:r>
        <w:rPr>
          <w:rFonts w:ascii="Arial" w:cs="Arial" w:eastAsia="Arial" w:hAnsi="Arial"/>
          <w:b/>
          <w:bCs/>
          <w:caps/>
          <w:color w:val="C9860A"/>
          <w:sz w:val="18"/>
          <w:szCs w:val="18"/>
        </w:rPr>
        <w:t xml:space="preserve">◆ Section 7</w:t>
      </w:r>
    </w:p>
    <w:p>
      <w:pPr>
        <w:pStyle w:val="Heading1"/>
        <w:pBdr>
          <w:bottom w:val="single" w:color="00B4D8" w:sz="6" w:space="1"/>
        </w:pBdr>
        <w:spacing w:before="480" w:after="120"/>
      </w:pPr>
      <w:r>
        <w:rPr>
          <w:rFonts w:ascii="Arial" w:cs="Arial" w:eastAsia="Arial" w:hAnsi="Arial"/>
          <w:b/>
          <w:bCs/>
          <w:color w:val="003B5C"/>
          <w:sz w:val="36"/>
          <w:szCs w:val="36"/>
        </w:rPr>
        <w:t xml:space="preserve">7. Homepage Section Requirements</w:t>
      </w:r>
    </w:p>
    <w:p>
      <w:pPr>
        <w:spacing w:before="80" w:after="120"/>
      </w:pPr>
      <w:r>
        <w:rPr>
          <w:rFonts w:ascii="Arial" w:cs="Arial" w:eastAsia="Arial" w:hAnsi="Arial"/>
          <w:b w:val="false"/>
          <w:bCs w:val="false"/>
          <w:i w:val="false"/>
          <w:iCs w:val="false"/>
          <w:color w:val="1A1A2E"/>
          <w:sz w:val="22"/>
          <w:szCs w:val="22"/>
        </w:rPr>
        <w:t xml:space="preserve">The homepage is the primary conversion surface. It must take the visitor on a complete journey — from introduction to desire to trust to action — without requiring them to navigate away.</w:t>
      </w:r>
    </w:p>
    <w:p>
      <w:pPr>
        <w:pStyle w:val="Heading2"/>
        <w:spacing w:before="360" w:after="80"/>
      </w:pPr>
      <w:r>
        <w:rPr>
          <w:rFonts w:ascii="Arial" w:cs="Arial" w:eastAsia="Arial" w:hAnsi="Arial"/>
          <w:b/>
          <w:bCs/>
          <w:color w:val="003B5C"/>
          <w:sz w:val="28"/>
          <w:szCs w:val="28"/>
        </w:rPr>
        <w:t xml:space="preserve">7.1 Section Sequence</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000"/>
        <w:gridCol w:w="4360"/>
      </w:tblGrid>
      <w:tr>
        <w:trPr>
          <w:tblHeader/>
        </w:trPr>
        <w:tc>
          <w:tcPr>
            <w:tcW w:type="dxa" w:w="400"/>
            <w:tcBorders>
              <w:top w:val="single" w:color="BFCFDB" w:sz="1"/>
              <w:left w:val="single" w:color="BFCFDB" w:sz="1"/>
              <w:bottom w:val="single" w:color="BFCFDB" w:sz="1"/>
              <w:right w:val="single" w:color="BFCFDB" w:sz="1"/>
            </w:tcBorders>
            <w:shd w:fill="003B5C"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1800"/>
            <w:tcBorders>
              <w:top w:val="single" w:color="BFCFDB" w:sz="1"/>
              <w:left w:val="single" w:color="BFCFDB" w:sz="1"/>
              <w:bottom w:val="single" w:color="BFCFDB" w:sz="1"/>
              <w:right w:val="single" w:color="BFCFDB" w:sz="1"/>
            </w:tcBorders>
            <w:shd w:fill="003B5C" w:val="clear"/>
            <w:tcMar>
              <w:top w:type="dxa" w:w="100"/>
              <w:left w:type="dxa" w:w="140"/>
              <w:bottom w:type="dxa" w:w="100"/>
              <w:right w:type="dxa" w:w="140"/>
            </w:tcMar>
          </w:tcPr>
          <w:p>
            <w:r>
              <w:rPr>
                <w:rFonts w:ascii="Arial" w:cs="Arial" w:eastAsia="Arial" w:hAnsi="Arial"/>
                <w:b/>
                <w:bCs/>
                <w:color w:val="FFFFFF"/>
                <w:sz w:val="20"/>
                <w:szCs w:val="20"/>
              </w:rPr>
              <w:t xml:space="preserve">Section Name</w:t>
            </w:r>
          </w:p>
        </w:tc>
        <w:tc>
          <w:tcPr>
            <w:tcW w:type="dxa" w:w="2000"/>
            <w:tcBorders>
              <w:top w:val="single" w:color="BFCFDB" w:sz="1"/>
              <w:left w:val="single" w:color="BFCFDB" w:sz="1"/>
              <w:bottom w:val="single" w:color="BFCFDB" w:sz="1"/>
              <w:right w:val="single" w:color="BFCFDB" w:sz="1"/>
            </w:tcBorders>
            <w:shd w:fill="003B5C" w:val="clear"/>
            <w:tcMar>
              <w:top w:type="dxa" w:w="100"/>
              <w:left w:type="dxa" w:w="140"/>
              <w:bottom w:type="dxa" w:w="100"/>
              <w:right w:type="dxa" w:w="140"/>
            </w:tcMar>
          </w:tcPr>
          <w:p>
            <w:r>
              <w:rPr>
                <w:rFonts w:ascii="Arial" w:cs="Arial" w:eastAsia="Arial" w:hAnsi="Arial"/>
                <w:b/>
                <w:bCs/>
                <w:color w:val="FFFFFF"/>
                <w:sz w:val="20"/>
                <w:szCs w:val="20"/>
              </w:rPr>
              <w:t xml:space="preserve">Primary Goal</w:t>
            </w:r>
          </w:p>
        </w:tc>
        <w:tc>
          <w:tcPr>
            <w:tcW w:type="dxa" w:w="4360"/>
            <w:tcBorders>
              <w:top w:val="single" w:color="BFCFDB" w:sz="1"/>
              <w:left w:val="single" w:color="BFCFDB" w:sz="1"/>
              <w:bottom w:val="single" w:color="BFCFDB" w:sz="1"/>
              <w:right w:val="single" w:color="BFCFDB" w:sz="1"/>
            </w:tcBorders>
            <w:shd w:fill="003B5C" w:val="clear"/>
            <w:tcMar>
              <w:top w:type="dxa" w:w="100"/>
              <w:left w:type="dxa" w:w="140"/>
              <w:bottom w:type="dxa" w:w="100"/>
              <w:right w:type="dxa" w:w="140"/>
            </w:tcMar>
          </w:tcPr>
          <w:p>
            <w:r>
              <w:rPr>
                <w:rFonts w:ascii="Arial" w:cs="Arial" w:eastAsia="Arial" w:hAnsi="Arial"/>
                <w:b/>
                <w:bCs/>
                <w:color w:val="FFFFFF"/>
                <w:sz w:val="20"/>
                <w:szCs w:val="20"/>
              </w:rPr>
              <w:t xml:space="preserve">Key Content Elements</w:t>
            </w:r>
          </w:p>
        </w:tc>
      </w:tr>
      <w:tr>
        <w:tc>
          <w:tcPr>
            <w:tcW w:type="dxa" w:w="4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01</w:t>
            </w:r>
          </w:p>
        </w:tc>
        <w:tc>
          <w:tcPr>
            <w:tcW w:type="dxa" w:w="18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Hero — The Surface</w:t>
            </w:r>
          </w:p>
        </w:tc>
        <w:tc>
          <w:tcPr>
            <w:tcW w:type="dxa" w:w="20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Stop the scroll. Create desire.</w:t>
            </w:r>
          </w:p>
        </w:tc>
        <w:tc>
          <w:tcPr>
            <w:tcW w:type="dxa" w:w="436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Full-bleed underwater/surface video or cinematic still. "Deeply addictive." tagline. Single CTA: Explore Packages.</w:t>
            </w:r>
          </w:p>
        </w:tc>
      </w:tr>
      <w:tr>
        <w:tc>
          <w:tcPr>
            <w:tcW w:type="dxa" w:w="4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02</w:t>
            </w:r>
          </w:p>
        </w:tc>
        <w:tc>
          <w:tcPr>
            <w:tcW w:type="dxa" w:w="18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The Signal Strip</w:t>
            </w:r>
          </w:p>
        </w:tc>
        <w:tc>
          <w:tcPr>
            <w:tcW w:type="dxa" w:w="20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Establish instant credibility</w:t>
            </w:r>
          </w:p>
        </w:tc>
        <w:tc>
          <w:tcPr>
            <w:tcW w:type="dxa" w:w="436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PADI 5 Star · Hanifaru Bay · Baa Atoll UNESCO Reserve · 15% Pre-Season Discount banner</w:t>
            </w:r>
          </w:p>
        </w:tc>
      </w:tr>
      <w:tr>
        <w:tc>
          <w:tcPr>
            <w:tcW w:type="dxa" w:w="4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03</w:t>
            </w:r>
          </w:p>
        </w:tc>
        <w:tc>
          <w:tcPr>
            <w:tcW w:type="dxa" w:w="18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Where You Are</w:t>
            </w:r>
          </w:p>
        </w:tc>
        <w:tc>
          <w:tcPr>
            <w:tcW w:type="dxa" w:w="20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Orient the visitor geographically</w:t>
            </w:r>
          </w:p>
        </w:tc>
        <w:tc>
          <w:tcPr>
            <w:tcW w:type="dxa" w:w="436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Interactive Maldives map, island callout, distance to Hanifaru Bay, UNESCO badge</w:t>
            </w:r>
          </w:p>
        </w:tc>
      </w:tr>
      <w:tr>
        <w:tc>
          <w:tcPr>
            <w:tcW w:type="dxa" w:w="4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04</w:t>
            </w:r>
          </w:p>
        </w:tc>
        <w:tc>
          <w:tcPr>
            <w:tcW w:type="dxa" w:w="18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Manta Madness</w:t>
            </w:r>
          </w:p>
        </w:tc>
        <w:tc>
          <w:tcPr>
            <w:tcW w:type="dxa" w:w="20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The emotional centrepiece</w:t>
            </w:r>
          </w:p>
        </w:tc>
        <w:tc>
          <w:tcPr>
            <w:tcW w:type="dxa" w:w="436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Full-width dark section. Cinematic manta imagery. Pull quote about cyclone feeding. Link to package.</w:t>
            </w:r>
          </w:p>
        </w:tc>
      </w:tr>
      <w:tr>
        <w:tc>
          <w:tcPr>
            <w:tcW w:type="dxa" w:w="4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05</w:t>
            </w:r>
          </w:p>
        </w:tc>
        <w:tc>
          <w:tcPr>
            <w:tcW w:type="dxa" w:w="18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Packages</w:t>
            </w:r>
          </w:p>
        </w:tc>
        <w:tc>
          <w:tcPr>
            <w:tcW w:type="dxa" w:w="20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Primary conversion section</w:t>
            </w:r>
          </w:p>
        </w:tc>
        <w:tc>
          <w:tcPr>
            <w:tcW w:type="dxa" w:w="436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Three package cards: Manta Madness, Dive Dive Dive, Dive Hanifaru. Price, inclusions, Book CTA.</w:t>
            </w:r>
          </w:p>
        </w:tc>
      </w:tr>
      <w:tr>
        <w:tc>
          <w:tcPr>
            <w:tcW w:type="dxa" w:w="4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06</w:t>
            </w:r>
          </w:p>
        </w:tc>
        <w:tc>
          <w:tcPr>
            <w:tcW w:type="dxa" w:w="18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Experiences</w:t>
            </w:r>
          </w:p>
        </w:tc>
        <w:tc>
          <w:tcPr>
            <w:tcW w:type="dxa" w:w="20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Expand perceived value</w:t>
            </w:r>
          </w:p>
        </w:tc>
        <w:tc>
          <w:tcPr>
            <w:tcW w:type="dxa" w:w="436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Diving · Courses · Excursions · Night Snorkelling. Icon cards with depth photography.</w:t>
            </w:r>
          </w:p>
        </w:tc>
      </w:tr>
      <w:tr>
        <w:tc>
          <w:tcPr>
            <w:tcW w:type="dxa" w:w="4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07</w:t>
            </w:r>
          </w:p>
        </w:tc>
        <w:tc>
          <w:tcPr>
            <w:tcW w:type="dxa" w:w="18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The Reef at Hanifaru</w:t>
            </w:r>
          </w:p>
        </w:tc>
        <w:tc>
          <w:tcPr>
            <w:tcW w:type="dxa" w:w="20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SEO + content + emotional depth</w:t>
            </w:r>
          </w:p>
        </w:tc>
        <w:tc>
          <w:tcPr>
            <w:tcW w:type="dxa" w:w="436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Long-form editorial panel. Marine life feature. Season calendar. Species cards.</w:t>
            </w:r>
          </w:p>
        </w:tc>
      </w:tr>
      <w:tr>
        <w:tc>
          <w:tcPr>
            <w:tcW w:type="dxa" w:w="4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08</w:t>
            </w:r>
          </w:p>
        </w:tc>
        <w:tc>
          <w:tcPr>
            <w:tcW w:type="dxa" w:w="18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Meet The Team</w:t>
            </w:r>
          </w:p>
        </w:tc>
        <w:tc>
          <w:tcPr>
            <w:tcW w:type="dxa" w:w="20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Trust &amp; authenticity</w:t>
            </w:r>
          </w:p>
        </w:tc>
        <w:tc>
          <w:tcPr>
            <w:tcW w:type="dxa" w:w="436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Team grid. Names, roles, Instagram links. Photo style: underwater or candid on boat.</w:t>
            </w:r>
          </w:p>
        </w:tc>
      </w:tr>
      <w:tr>
        <w:tc>
          <w:tcPr>
            <w:tcW w:type="dxa" w:w="4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09</w:t>
            </w:r>
          </w:p>
        </w:tc>
        <w:tc>
          <w:tcPr>
            <w:tcW w:type="dxa" w:w="18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Accommodation</w:t>
            </w:r>
          </w:p>
        </w:tc>
        <w:tc>
          <w:tcPr>
            <w:tcW w:type="dxa" w:w="20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Partner value + logistics</w:t>
            </w:r>
          </w:p>
        </w:tc>
        <w:tc>
          <w:tcPr>
            <w:tcW w:type="dxa" w:w="436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Beachfront partner properties. Clean card grid. Affiliate links.</w:t>
            </w:r>
          </w:p>
        </w:tc>
      </w:tr>
      <w:tr>
        <w:tc>
          <w:tcPr>
            <w:tcW w:type="dxa" w:w="4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10</w:t>
            </w:r>
          </w:p>
        </w:tc>
        <w:tc>
          <w:tcPr>
            <w:tcW w:type="dxa" w:w="18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Social Proof</w:t>
            </w:r>
          </w:p>
        </w:tc>
        <w:tc>
          <w:tcPr>
            <w:tcW w:type="dxa" w:w="20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Overcome final objections</w:t>
            </w:r>
          </w:p>
        </w:tc>
        <w:tc>
          <w:tcPr>
            <w:tcW w:type="dxa" w:w="436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Google/TripAdvisor rating widget. Recent review quotes. Review count.</w:t>
            </w:r>
          </w:p>
        </w:tc>
      </w:tr>
      <w:tr>
        <w:tc>
          <w:tcPr>
            <w:tcW w:type="dxa" w:w="4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11</w:t>
            </w:r>
          </w:p>
        </w:tc>
        <w:tc>
          <w:tcPr>
            <w:tcW w:type="dxa" w:w="18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Pre-Season Offer</w:t>
            </w:r>
          </w:p>
        </w:tc>
        <w:tc>
          <w:tcPr>
            <w:tcW w:type="dxa" w:w="20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Urgency + conversion</w:t>
            </w:r>
          </w:p>
        </w:tc>
        <w:tc>
          <w:tcPr>
            <w:tcW w:type="dxa" w:w="436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Countdown or deadline banner. 15% off CTA. Book before 20 May 2026.</w:t>
            </w:r>
          </w:p>
        </w:tc>
      </w:tr>
      <w:tr>
        <w:tc>
          <w:tcPr>
            <w:tcW w:type="dxa" w:w="4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12</w:t>
            </w:r>
          </w:p>
        </w:tc>
        <w:tc>
          <w:tcPr>
            <w:tcW w:type="dxa" w:w="18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Footer</w:t>
            </w:r>
          </w:p>
        </w:tc>
        <w:tc>
          <w:tcPr>
            <w:tcW w:type="dxa" w:w="20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Navigation + legal + contact</w:t>
            </w:r>
          </w:p>
        </w:tc>
        <w:tc>
          <w:tcPr>
            <w:tcW w:type="dxa" w:w="436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Full nav, WhatsApp, social icons, PADI logo, dive centre details, legal.</w:t>
            </w:r>
          </w:p>
        </w:tc>
      </w:tr>
    </w:tbl>
    <w:p>
      <w:pPr>
        <w:pBdr>
          <w:bottom w:val="single" w:color="00B4D8" w:sz="3" w:space="1"/>
        </w:pBdr>
        <w:spacing w:before="200" w:after="200"/>
      </w:pPr>
    </w:p>
    <w:p>
      <w:pPr>
        <w:spacing w:before="480" w:after="60"/>
      </w:pPr>
      <w:r>
        <w:rPr>
          <w:rFonts w:ascii="Arial" w:cs="Arial" w:eastAsia="Arial" w:hAnsi="Arial"/>
          <w:b/>
          <w:bCs/>
          <w:caps/>
          <w:color w:val="C9860A"/>
          <w:sz w:val="18"/>
          <w:szCs w:val="18"/>
        </w:rPr>
        <w:t xml:space="preserve">◆ Section 8</w:t>
      </w:r>
    </w:p>
    <w:p>
      <w:pPr>
        <w:pStyle w:val="Heading1"/>
        <w:pBdr>
          <w:bottom w:val="single" w:color="00B4D8" w:sz="6" w:space="1"/>
        </w:pBdr>
        <w:spacing w:before="480" w:after="120"/>
      </w:pPr>
      <w:r>
        <w:rPr>
          <w:rFonts w:ascii="Arial" w:cs="Arial" w:eastAsia="Arial" w:hAnsi="Arial"/>
          <w:b/>
          <w:bCs/>
          <w:color w:val="003B5C"/>
          <w:sz w:val="36"/>
          <w:szCs w:val="36"/>
        </w:rPr>
        <w:t xml:space="preserve">8. Functional Requirements</w:t>
      </w:r>
    </w:p>
    <w:p>
      <w:pPr>
        <w:pStyle w:val="Heading2"/>
        <w:spacing w:before="360" w:after="80"/>
      </w:pPr>
      <w:r>
        <w:rPr>
          <w:rFonts w:ascii="Arial" w:cs="Arial" w:eastAsia="Arial" w:hAnsi="Arial"/>
          <w:b/>
          <w:bCs/>
          <w:color w:val="003B5C"/>
          <w:sz w:val="28"/>
          <w:szCs w:val="28"/>
        </w:rPr>
        <w:t xml:space="preserve">8.1 Core Features (P0 — Must Have)</w:t>
      </w:r>
    </w:p>
    <w:p>
      <w:pPr>
        <w:pStyle w:val="ListParagraph"/>
        <w:numPr>
          <w:ilvl w:val="0"/>
          <w:numId w:val="2"/>
        </w:numPr>
        <w:spacing w:before="40" w:after="40"/>
      </w:pPr>
      <w:r>
        <w:rPr>
          <w:rFonts w:ascii="Arial" w:cs="Arial" w:eastAsia="Arial" w:hAnsi="Arial"/>
          <w:color w:val="1A1A2E"/>
          <w:sz w:val="22"/>
          <w:szCs w:val="22"/>
        </w:rPr>
        <w:t xml:space="preserve">Responsive design: optimised for mobile-first (320px+), tablet (768px+), desktop (1280px+), and ultra-wide (1920px+)</w:t>
      </w:r>
    </w:p>
    <w:p>
      <w:pPr>
        <w:pStyle w:val="ListParagraph"/>
        <w:numPr>
          <w:ilvl w:val="0"/>
          <w:numId w:val="2"/>
        </w:numPr>
        <w:spacing w:before="40" w:after="40"/>
      </w:pPr>
      <w:r>
        <w:rPr>
          <w:rFonts w:ascii="Arial" w:cs="Arial" w:eastAsia="Arial" w:hAnsi="Arial"/>
          <w:color w:val="1A1A2E"/>
          <w:sz w:val="22"/>
          <w:szCs w:val="22"/>
        </w:rPr>
        <w:t xml:space="preserve">WhatsApp direct link (+960-7773998) persistent in header and footer</w:t>
      </w:r>
    </w:p>
    <w:p>
      <w:pPr>
        <w:pStyle w:val="ListParagraph"/>
        <w:numPr>
          <w:ilvl w:val="0"/>
          <w:numId w:val="2"/>
        </w:numPr>
        <w:spacing w:before="40" w:after="40"/>
      </w:pPr>
      <w:r>
        <w:rPr>
          <w:rFonts w:ascii="Arial" w:cs="Arial" w:eastAsia="Arial" w:hAnsi="Arial"/>
          <w:color w:val="1A1A2E"/>
          <w:sz w:val="22"/>
          <w:szCs w:val="22"/>
        </w:rPr>
        <w:t xml:space="preserve">Package booking enquiry form with honeypot spam protection and email notification</w:t>
      </w:r>
    </w:p>
    <w:p>
      <w:pPr>
        <w:pStyle w:val="ListParagraph"/>
        <w:numPr>
          <w:ilvl w:val="0"/>
          <w:numId w:val="2"/>
        </w:numPr>
        <w:spacing w:before="40" w:after="40"/>
      </w:pPr>
      <w:r>
        <w:rPr>
          <w:rFonts w:ascii="Arial" w:cs="Arial" w:eastAsia="Arial" w:hAnsi="Arial"/>
          <w:color w:val="1A1A2E"/>
          <w:sz w:val="22"/>
          <w:szCs w:val="22"/>
        </w:rPr>
        <w:t xml:space="preserve">PADI course enquiry form with course selector, preferred dates, and certification level</w:t>
      </w:r>
    </w:p>
    <w:p>
      <w:pPr>
        <w:pStyle w:val="ListParagraph"/>
        <w:numPr>
          <w:ilvl w:val="0"/>
          <w:numId w:val="2"/>
        </w:numPr>
        <w:spacing w:before="40" w:after="40"/>
      </w:pPr>
      <w:r>
        <w:rPr>
          <w:rFonts w:ascii="Arial" w:cs="Arial" w:eastAsia="Arial" w:hAnsi="Arial"/>
          <w:color w:val="1A1A2E"/>
          <w:sz w:val="22"/>
          <w:szCs w:val="22"/>
        </w:rPr>
        <w:t xml:space="preserve">Sticky navigation with transparent-to-solid transition on scroll</w:t>
      </w:r>
    </w:p>
    <w:p>
      <w:pPr>
        <w:pStyle w:val="ListParagraph"/>
        <w:numPr>
          <w:ilvl w:val="0"/>
          <w:numId w:val="2"/>
        </w:numPr>
        <w:spacing w:before="40" w:after="40"/>
      </w:pPr>
      <w:r>
        <w:rPr>
          <w:rFonts w:ascii="Arial" w:cs="Arial" w:eastAsia="Arial" w:hAnsi="Arial"/>
          <w:color w:val="1A1A2E"/>
          <w:sz w:val="22"/>
          <w:szCs w:val="22"/>
        </w:rPr>
        <w:t xml:space="preserve">Interactive Maldives map (Mapbox or Leaflet) showing Dharavandhoo and Hanifaru Bay proximity</w:t>
      </w:r>
    </w:p>
    <w:p>
      <w:pPr>
        <w:pStyle w:val="ListParagraph"/>
        <w:numPr>
          <w:ilvl w:val="0"/>
          <w:numId w:val="2"/>
        </w:numPr>
        <w:spacing w:before="40" w:after="40"/>
      </w:pPr>
      <w:r>
        <w:rPr>
          <w:rFonts w:ascii="Arial" w:cs="Arial" w:eastAsia="Arial" w:hAnsi="Arial"/>
          <w:color w:val="1A1A2E"/>
          <w:sz w:val="22"/>
          <w:szCs w:val="22"/>
        </w:rPr>
        <w:t xml:space="preserve">Gallery lightbox with lazy loading and Instagram embed capability</w:t>
      </w:r>
    </w:p>
    <w:p>
      <w:pPr>
        <w:pStyle w:val="ListParagraph"/>
        <w:numPr>
          <w:ilvl w:val="0"/>
          <w:numId w:val="2"/>
        </w:numPr>
        <w:spacing w:before="40" w:after="40"/>
      </w:pPr>
      <w:r>
        <w:rPr>
          <w:rFonts w:ascii="Arial" w:cs="Arial" w:eastAsia="Arial" w:hAnsi="Arial"/>
          <w:color w:val="1A1A2E"/>
          <w:sz w:val="22"/>
          <w:szCs w:val="22"/>
        </w:rPr>
        <w:t xml:space="preserve">Google Analytics 4 and Meta Pixel integration</w:t>
      </w:r>
    </w:p>
    <w:p>
      <w:pPr>
        <w:pStyle w:val="ListParagraph"/>
        <w:numPr>
          <w:ilvl w:val="0"/>
          <w:numId w:val="2"/>
        </w:numPr>
        <w:spacing w:before="40" w:after="40"/>
      </w:pPr>
      <w:r>
        <w:rPr>
          <w:rFonts w:ascii="Arial" w:cs="Arial" w:eastAsia="Arial" w:hAnsi="Arial"/>
          <w:color w:val="1A1A2E"/>
          <w:sz w:val="22"/>
          <w:szCs w:val="22"/>
        </w:rPr>
        <w:t xml:space="preserve">Schema markup: DiveShop, LocalBusiness, FAQPage, BreadcrumbList</w:t>
      </w:r>
    </w:p>
    <w:p>
      <w:pPr>
        <w:pStyle w:val="ListParagraph"/>
        <w:numPr>
          <w:ilvl w:val="0"/>
          <w:numId w:val="2"/>
        </w:numPr>
        <w:spacing w:before="40" w:after="40"/>
      </w:pPr>
      <w:r>
        <w:rPr>
          <w:rFonts w:ascii="Arial" w:cs="Arial" w:eastAsia="Arial" w:hAnsi="Arial"/>
          <w:color w:val="1A1A2E"/>
          <w:sz w:val="22"/>
          <w:szCs w:val="22"/>
        </w:rPr>
        <w:t xml:space="preserve">Sitemap.xml and robots.txt generation</w:t>
      </w:r>
    </w:p>
    <w:p>
      <w:pPr>
        <w:spacing w:before="120" w:after="120"/>
      </w:pPr>
    </w:p>
    <w:p>
      <w:pPr>
        <w:pStyle w:val="Heading2"/>
        <w:spacing w:before="360" w:after="80"/>
      </w:pPr>
      <w:r>
        <w:rPr>
          <w:rFonts w:ascii="Arial" w:cs="Arial" w:eastAsia="Arial" w:hAnsi="Arial"/>
          <w:b/>
          <w:bCs/>
          <w:color w:val="003B5C"/>
          <w:sz w:val="28"/>
          <w:szCs w:val="28"/>
        </w:rPr>
        <w:t xml:space="preserve">8.2 Enhanced Features (P1 — Should Have)</w:t>
      </w:r>
    </w:p>
    <w:p>
      <w:pPr>
        <w:pStyle w:val="ListParagraph"/>
        <w:numPr>
          <w:ilvl w:val="0"/>
          <w:numId w:val="2"/>
        </w:numPr>
        <w:spacing w:before="40" w:after="40"/>
      </w:pPr>
      <w:r>
        <w:rPr>
          <w:rFonts w:ascii="Arial" w:cs="Arial" w:eastAsia="Arial" w:hAnsi="Arial"/>
          <w:color w:val="1A1A2E"/>
          <w:sz w:val="22"/>
          <w:szCs w:val="22"/>
        </w:rPr>
        <w:t xml:space="preserve">Animated scroll depth triggers — sections reveal on viewport entry</w:t>
      </w:r>
    </w:p>
    <w:p>
      <w:pPr>
        <w:pStyle w:val="ListParagraph"/>
        <w:numPr>
          <w:ilvl w:val="0"/>
          <w:numId w:val="2"/>
        </w:numPr>
        <w:spacing w:before="40" w:after="40"/>
      </w:pPr>
      <w:r>
        <w:rPr>
          <w:rFonts w:ascii="Arial" w:cs="Arial" w:eastAsia="Arial" w:hAnsi="Arial"/>
          <w:color w:val="1A1A2E"/>
          <w:sz w:val="22"/>
          <w:szCs w:val="22"/>
        </w:rPr>
        <w:t xml:space="preserve">Season/best-time calendar widget for Hanifaru Bay aggregations</w:t>
      </w:r>
    </w:p>
    <w:p>
      <w:pPr>
        <w:pStyle w:val="ListParagraph"/>
        <w:numPr>
          <w:ilvl w:val="0"/>
          <w:numId w:val="2"/>
        </w:numPr>
        <w:spacing w:before="40" w:after="40"/>
      </w:pPr>
      <w:r>
        <w:rPr>
          <w:rFonts w:ascii="Arial" w:cs="Arial" w:eastAsia="Arial" w:hAnsi="Arial"/>
          <w:color w:val="1A1A2E"/>
          <w:sz w:val="22"/>
          <w:szCs w:val="22"/>
        </w:rPr>
        <w:t xml:space="preserve">Marine species identification cards (manta, whale shark, reef shark, eagle ray)</w:t>
      </w:r>
    </w:p>
    <w:p>
      <w:pPr>
        <w:pStyle w:val="ListParagraph"/>
        <w:numPr>
          <w:ilvl w:val="0"/>
          <w:numId w:val="2"/>
        </w:numPr>
        <w:spacing w:before="40" w:after="40"/>
      </w:pPr>
      <w:r>
        <w:rPr>
          <w:rFonts w:ascii="Arial" w:cs="Arial" w:eastAsia="Arial" w:hAnsi="Arial"/>
          <w:color w:val="1A1A2E"/>
          <w:sz w:val="22"/>
          <w:szCs w:val="22"/>
        </w:rPr>
        <w:t xml:space="preserve">Video background option for hero with fallback still image on mobile</w:t>
      </w:r>
    </w:p>
    <w:p>
      <w:pPr>
        <w:pStyle w:val="ListParagraph"/>
        <w:numPr>
          <w:ilvl w:val="0"/>
          <w:numId w:val="2"/>
        </w:numPr>
        <w:spacing w:before="40" w:after="40"/>
      </w:pPr>
      <w:r>
        <w:rPr>
          <w:rFonts w:ascii="Arial" w:cs="Arial" w:eastAsia="Arial" w:hAnsi="Arial"/>
          <w:color w:val="1A1A2E"/>
          <w:sz w:val="22"/>
          <w:szCs w:val="22"/>
        </w:rPr>
        <w:t xml:space="preserve">Multi-language support scaffold (English primary; Dhivehi, German, French for future phases)</w:t>
      </w:r>
    </w:p>
    <w:p>
      <w:pPr>
        <w:pStyle w:val="ListParagraph"/>
        <w:numPr>
          <w:ilvl w:val="0"/>
          <w:numId w:val="2"/>
        </w:numPr>
        <w:spacing w:before="40" w:after="40"/>
      </w:pPr>
      <w:r>
        <w:rPr>
          <w:rFonts w:ascii="Arial" w:cs="Arial" w:eastAsia="Arial" w:hAnsi="Arial"/>
          <w:color w:val="1A1A2E"/>
          <w:sz w:val="22"/>
          <w:szCs w:val="22"/>
        </w:rPr>
        <w:t xml:space="preserve">Live availability widget or WhatsApp pre-fill message templates for each package</w:t>
      </w:r>
    </w:p>
    <w:p>
      <w:pPr>
        <w:pStyle w:val="ListParagraph"/>
        <w:numPr>
          <w:ilvl w:val="0"/>
          <w:numId w:val="2"/>
        </w:numPr>
        <w:spacing w:before="40" w:after="40"/>
      </w:pPr>
      <w:r>
        <w:rPr>
          <w:rFonts w:ascii="Arial" w:cs="Arial" w:eastAsia="Arial" w:hAnsi="Arial"/>
          <w:color w:val="1A1A2E"/>
          <w:sz w:val="22"/>
          <w:szCs w:val="22"/>
        </w:rPr>
        <w:t xml:space="preserve">Cookie consent banner (GDPR compliant)</w:t>
      </w:r>
    </w:p>
    <w:p>
      <w:pPr>
        <w:spacing w:before="120" w:after="120"/>
      </w:pPr>
    </w:p>
    <w:p>
      <w:pPr>
        <w:pStyle w:val="Heading2"/>
        <w:spacing w:before="360" w:after="80"/>
      </w:pPr>
      <w:r>
        <w:rPr>
          <w:rFonts w:ascii="Arial" w:cs="Arial" w:eastAsia="Arial" w:hAnsi="Arial"/>
          <w:b/>
          <w:bCs/>
          <w:color w:val="003B5C"/>
          <w:sz w:val="28"/>
          <w:szCs w:val="28"/>
        </w:rPr>
        <w:t xml:space="preserve">8.3 Future Phase (P2 — Nice to Have)</w:t>
      </w:r>
    </w:p>
    <w:p>
      <w:pPr>
        <w:pStyle w:val="ListParagraph"/>
        <w:numPr>
          <w:ilvl w:val="0"/>
          <w:numId w:val="2"/>
        </w:numPr>
        <w:spacing w:before="40" w:after="40"/>
      </w:pPr>
      <w:r>
        <w:rPr>
          <w:rFonts w:ascii="Arial" w:cs="Arial" w:eastAsia="Arial" w:hAnsi="Arial"/>
          <w:color w:val="1A1A2E"/>
          <w:sz w:val="22"/>
          <w:szCs w:val="22"/>
        </w:rPr>
        <w:t xml:space="preserve">Online booking and payment system with Stripe integration</w:t>
      </w:r>
    </w:p>
    <w:p>
      <w:pPr>
        <w:pStyle w:val="ListParagraph"/>
        <w:numPr>
          <w:ilvl w:val="0"/>
          <w:numId w:val="2"/>
        </w:numPr>
        <w:spacing w:before="40" w:after="40"/>
      </w:pPr>
      <w:r>
        <w:rPr>
          <w:rFonts w:ascii="Arial" w:cs="Arial" w:eastAsia="Arial" w:hAnsi="Arial"/>
          <w:color w:val="1A1A2E"/>
          <w:sz w:val="22"/>
          <w:szCs w:val="22"/>
        </w:rPr>
        <w:t xml:space="preserve">Dive log / guest portal for returning customers</w:t>
      </w:r>
    </w:p>
    <w:p>
      <w:pPr>
        <w:pStyle w:val="ListParagraph"/>
        <w:numPr>
          <w:ilvl w:val="0"/>
          <w:numId w:val="2"/>
        </w:numPr>
        <w:spacing w:before="40" w:after="40"/>
      </w:pPr>
      <w:r>
        <w:rPr>
          <w:rFonts w:ascii="Arial" w:cs="Arial" w:eastAsia="Arial" w:hAnsi="Arial"/>
          <w:color w:val="1A1A2E"/>
          <w:sz w:val="22"/>
          <w:szCs w:val="22"/>
        </w:rPr>
        <w:t xml:space="preserve">Live underwater camera feed during peak manta season (May–November)</w:t>
      </w:r>
    </w:p>
    <w:p>
      <w:pPr>
        <w:pStyle w:val="ListParagraph"/>
        <w:numPr>
          <w:ilvl w:val="0"/>
          <w:numId w:val="2"/>
        </w:numPr>
        <w:spacing w:before="40" w:after="40"/>
      </w:pPr>
      <w:r>
        <w:rPr>
          <w:rFonts w:ascii="Arial" w:cs="Arial" w:eastAsia="Arial" w:hAnsi="Arial"/>
          <w:color w:val="1A1A2E"/>
          <w:sz w:val="22"/>
          <w:szCs w:val="22"/>
        </w:rPr>
        <w:t xml:space="preserve">Email capture with automated sequence: "Before Your Dive" 5-part educational series</w:t>
      </w:r>
    </w:p>
    <w:p>
      <w:pPr>
        <w:pBdr>
          <w:bottom w:val="single" w:color="00B4D8" w:sz="3" w:space="1"/>
        </w:pBdr>
        <w:spacing w:before="200" w:after="200"/>
      </w:pPr>
    </w:p>
    <w:p>
      <w:pPr>
        <w:spacing w:before="480" w:after="60"/>
      </w:pPr>
      <w:r>
        <w:rPr>
          <w:rFonts w:ascii="Arial" w:cs="Arial" w:eastAsia="Arial" w:hAnsi="Arial"/>
          <w:b/>
          <w:bCs/>
          <w:caps/>
          <w:color w:val="C9860A"/>
          <w:sz w:val="18"/>
          <w:szCs w:val="18"/>
        </w:rPr>
        <w:t xml:space="preserve">◆ Section 9</w:t>
      </w:r>
    </w:p>
    <w:p>
      <w:pPr>
        <w:pStyle w:val="Heading1"/>
        <w:pBdr>
          <w:bottom w:val="single" w:color="00B4D8" w:sz="6" w:space="1"/>
        </w:pBdr>
        <w:spacing w:before="480" w:after="120"/>
      </w:pPr>
      <w:r>
        <w:rPr>
          <w:rFonts w:ascii="Arial" w:cs="Arial" w:eastAsia="Arial" w:hAnsi="Arial"/>
          <w:b/>
          <w:bCs/>
          <w:color w:val="003B5C"/>
          <w:sz w:val="36"/>
          <w:szCs w:val="36"/>
        </w:rPr>
        <w:t xml:space="preserve">9. Non-Functional Requirements</w:t>
      </w:r>
    </w:p>
    <w:p>
      <w:pPr>
        <w:pStyle w:val="Heading2"/>
        <w:spacing w:before="360" w:after="80"/>
      </w:pPr>
      <w:r>
        <w:rPr>
          <w:rFonts w:ascii="Arial" w:cs="Arial" w:eastAsia="Arial" w:hAnsi="Arial"/>
          <w:b/>
          <w:bCs/>
          <w:color w:val="003B5C"/>
          <w:sz w:val="28"/>
          <w:szCs w:val="28"/>
        </w:rPr>
        <w:t xml:space="preserve">9.1 Performance</w:t>
      </w:r>
    </w:p>
    <w:p>
      <w:pPr>
        <w:pStyle w:val="ListParagraph"/>
        <w:numPr>
          <w:ilvl w:val="0"/>
          <w:numId w:val="2"/>
        </w:numPr>
        <w:spacing w:before="40" w:after="40"/>
      </w:pPr>
      <w:r>
        <w:rPr>
          <w:rFonts w:ascii="Arial" w:cs="Arial" w:eastAsia="Arial" w:hAnsi="Arial"/>
          <w:color w:val="1A1A2E"/>
          <w:sz w:val="22"/>
          <w:szCs w:val="22"/>
        </w:rPr>
        <w:t xml:space="preserve">Google PageSpeed Insights score: ≥ 90 (Mobile), ≥ 95 (Desktop)</w:t>
      </w:r>
    </w:p>
    <w:p>
      <w:pPr>
        <w:pStyle w:val="ListParagraph"/>
        <w:numPr>
          <w:ilvl w:val="0"/>
          <w:numId w:val="2"/>
        </w:numPr>
        <w:spacing w:before="40" w:after="40"/>
      </w:pPr>
      <w:r>
        <w:rPr>
          <w:rFonts w:ascii="Arial" w:cs="Arial" w:eastAsia="Arial" w:hAnsi="Arial"/>
          <w:color w:val="1A1A2E"/>
          <w:sz w:val="22"/>
          <w:szCs w:val="22"/>
        </w:rPr>
        <w:t xml:space="preserve">Largest Contentful Paint (LCP): &lt; 2.5s on 4G connection</w:t>
      </w:r>
    </w:p>
    <w:p>
      <w:pPr>
        <w:pStyle w:val="ListParagraph"/>
        <w:numPr>
          <w:ilvl w:val="0"/>
          <w:numId w:val="2"/>
        </w:numPr>
        <w:spacing w:before="40" w:after="40"/>
      </w:pPr>
      <w:r>
        <w:rPr>
          <w:rFonts w:ascii="Arial" w:cs="Arial" w:eastAsia="Arial" w:hAnsi="Arial"/>
          <w:color w:val="1A1A2E"/>
          <w:sz w:val="22"/>
          <w:szCs w:val="22"/>
        </w:rPr>
        <w:t xml:space="preserve">Cumulative Layout Shift (CLS): &lt; 0.1</w:t>
      </w:r>
    </w:p>
    <w:p>
      <w:pPr>
        <w:pStyle w:val="ListParagraph"/>
        <w:numPr>
          <w:ilvl w:val="0"/>
          <w:numId w:val="2"/>
        </w:numPr>
        <w:spacing w:before="40" w:after="40"/>
      </w:pPr>
      <w:r>
        <w:rPr>
          <w:rFonts w:ascii="Arial" w:cs="Arial" w:eastAsia="Arial" w:hAnsi="Arial"/>
          <w:color w:val="1A1A2E"/>
          <w:sz w:val="22"/>
          <w:szCs w:val="22"/>
        </w:rPr>
        <w:t xml:space="preserve">First Input Delay (FID): &lt; 100ms</w:t>
      </w:r>
    </w:p>
    <w:p>
      <w:pPr>
        <w:pStyle w:val="ListParagraph"/>
        <w:numPr>
          <w:ilvl w:val="0"/>
          <w:numId w:val="2"/>
        </w:numPr>
        <w:spacing w:before="40" w:after="40"/>
      </w:pPr>
      <w:r>
        <w:rPr>
          <w:rFonts w:ascii="Arial" w:cs="Arial" w:eastAsia="Arial" w:hAnsi="Arial"/>
          <w:color w:val="1A1A2E"/>
          <w:sz w:val="22"/>
          <w:szCs w:val="22"/>
        </w:rPr>
        <w:t xml:space="preserve">Total page weight: &lt; 1.5MB (compressed assets)</w:t>
      </w:r>
    </w:p>
    <w:p>
      <w:pPr>
        <w:pStyle w:val="ListParagraph"/>
        <w:numPr>
          <w:ilvl w:val="0"/>
          <w:numId w:val="2"/>
        </w:numPr>
        <w:spacing w:before="40" w:after="40"/>
      </w:pPr>
      <w:r>
        <w:rPr>
          <w:rFonts w:ascii="Arial" w:cs="Arial" w:eastAsia="Arial" w:hAnsi="Arial"/>
          <w:color w:val="1A1A2E"/>
          <w:sz w:val="22"/>
          <w:szCs w:val="22"/>
        </w:rPr>
        <w:t xml:space="preserve">All images served in WebP format with JPEG fallback</w:t>
      </w:r>
    </w:p>
    <w:p>
      <w:pPr>
        <w:pStyle w:val="ListParagraph"/>
        <w:numPr>
          <w:ilvl w:val="0"/>
          <w:numId w:val="2"/>
        </w:numPr>
        <w:spacing w:before="40" w:after="40"/>
      </w:pPr>
      <w:r>
        <w:rPr>
          <w:rFonts w:ascii="Arial" w:cs="Arial" w:eastAsia="Arial" w:hAnsi="Arial"/>
          <w:color w:val="1A1A2E"/>
          <w:sz w:val="22"/>
          <w:szCs w:val="22"/>
        </w:rPr>
        <w:t xml:space="preserve">CDN delivery for all static assets</w:t>
      </w:r>
    </w:p>
    <w:p>
      <w:pPr>
        <w:spacing w:before="120" w:after="120"/>
      </w:pPr>
    </w:p>
    <w:p>
      <w:pPr>
        <w:pStyle w:val="Heading2"/>
        <w:spacing w:before="360" w:after="80"/>
      </w:pPr>
      <w:r>
        <w:rPr>
          <w:rFonts w:ascii="Arial" w:cs="Arial" w:eastAsia="Arial" w:hAnsi="Arial"/>
          <w:b/>
          <w:bCs/>
          <w:color w:val="003B5C"/>
          <w:sz w:val="28"/>
          <w:szCs w:val="28"/>
        </w:rPr>
        <w:t xml:space="preserve">9.2 Accessibility</w:t>
      </w:r>
    </w:p>
    <w:p>
      <w:pPr>
        <w:pStyle w:val="ListParagraph"/>
        <w:numPr>
          <w:ilvl w:val="0"/>
          <w:numId w:val="2"/>
        </w:numPr>
        <w:spacing w:before="40" w:after="40"/>
      </w:pPr>
      <w:r>
        <w:rPr>
          <w:rFonts w:ascii="Arial" w:cs="Arial" w:eastAsia="Arial" w:hAnsi="Arial"/>
          <w:color w:val="1A1A2E"/>
          <w:sz w:val="22"/>
          <w:szCs w:val="22"/>
        </w:rPr>
        <w:t xml:space="preserve">WCAG 2.1 AA compliance minimum</w:t>
      </w:r>
    </w:p>
    <w:p>
      <w:pPr>
        <w:pStyle w:val="ListParagraph"/>
        <w:numPr>
          <w:ilvl w:val="0"/>
          <w:numId w:val="2"/>
        </w:numPr>
        <w:spacing w:before="40" w:after="40"/>
      </w:pPr>
      <w:r>
        <w:rPr>
          <w:rFonts w:ascii="Arial" w:cs="Arial" w:eastAsia="Arial" w:hAnsi="Arial"/>
          <w:color w:val="1A1A2E"/>
          <w:sz w:val="22"/>
          <w:szCs w:val="22"/>
        </w:rPr>
        <w:t xml:space="preserve">All images with descriptive alt text</w:t>
      </w:r>
    </w:p>
    <w:p>
      <w:pPr>
        <w:pStyle w:val="ListParagraph"/>
        <w:numPr>
          <w:ilvl w:val="0"/>
          <w:numId w:val="2"/>
        </w:numPr>
        <w:spacing w:before="40" w:after="40"/>
      </w:pPr>
      <w:r>
        <w:rPr>
          <w:rFonts w:ascii="Arial" w:cs="Arial" w:eastAsia="Arial" w:hAnsi="Arial"/>
          <w:color w:val="1A1A2E"/>
          <w:sz w:val="22"/>
          <w:szCs w:val="22"/>
        </w:rPr>
        <w:t xml:space="preserve">Keyboard navigable throughout</w:t>
      </w:r>
    </w:p>
    <w:p>
      <w:pPr>
        <w:pStyle w:val="ListParagraph"/>
        <w:numPr>
          <w:ilvl w:val="0"/>
          <w:numId w:val="2"/>
        </w:numPr>
        <w:spacing w:before="40" w:after="40"/>
      </w:pPr>
      <w:r>
        <w:rPr>
          <w:rFonts w:ascii="Arial" w:cs="Arial" w:eastAsia="Arial" w:hAnsi="Arial"/>
          <w:color w:val="1A1A2E"/>
          <w:sz w:val="22"/>
          <w:szCs w:val="22"/>
        </w:rPr>
        <w:t xml:space="preserve">Minimum contrast ratio 4.5:1 for body text, 3:1 for large text</w:t>
      </w:r>
    </w:p>
    <w:p>
      <w:pPr>
        <w:pStyle w:val="ListParagraph"/>
        <w:numPr>
          <w:ilvl w:val="0"/>
          <w:numId w:val="2"/>
        </w:numPr>
        <w:spacing w:before="40" w:after="40"/>
      </w:pPr>
      <w:r>
        <w:rPr>
          <w:rFonts w:ascii="Arial" w:cs="Arial" w:eastAsia="Arial" w:hAnsi="Arial"/>
          <w:color w:val="1A1A2E"/>
          <w:sz w:val="22"/>
          <w:szCs w:val="22"/>
        </w:rPr>
        <w:t xml:space="preserve">Skip-to-content link for screen readers</w:t>
      </w:r>
    </w:p>
    <w:p>
      <w:pPr>
        <w:spacing w:before="120" w:after="120"/>
      </w:pPr>
    </w:p>
    <w:p>
      <w:pPr>
        <w:pStyle w:val="Heading2"/>
        <w:spacing w:before="360" w:after="80"/>
      </w:pPr>
      <w:r>
        <w:rPr>
          <w:rFonts w:ascii="Arial" w:cs="Arial" w:eastAsia="Arial" w:hAnsi="Arial"/>
          <w:b/>
          <w:bCs/>
          <w:color w:val="003B5C"/>
          <w:sz w:val="28"/>
          <w:szCs w:val="28"/>
        </w:rPr>
        <w:t xml:space="preserve">9.3 Security</w:t>
      </w:r>
    </w:p>
    <w:p>
      <w:pPr>
        <w:pStyle w:val="ListParagraph"/>
        <w:numPr>
          <w:ilvl w:val="0"/>
          <w:numId w:val="2"/>
        </w:numPr>
        <w:spacing w:before="40" w:after="40"/>
      </w:pPr>
      <w:r>
        <w:rPr>
          <w:rFonts w:ascii="Arial" w:cs="Arial" w:eastAsia="Arial" w:hAnsi="Arial"/>
          <w:color w:val="1A1A2E"/>
          <w:sz w:val="22"/>
          <w:szCs w:val="22"/>
        </w:rPr>
        <w:t xml:space="preserve">HTTPS enforced (SSL/TLS 1.3)</w:t>
      </w:r>
    </w:p>
    <w:p>
      <w:pPr>
        <w:pStyle w:val="ListParagraph"/>
        <w:numPr>
          <w:ilvl w:val="0"/>
          <w:numId w:val="2"/>
        </w:numPr>
        <w:spacing w:before="40" w:after="40"/>
      </w:pPr>
      <w:r>
        <w:rPr>
          <w:rFonts w:ascii="Arial" w:cs="Arial" w:eastAsia="Arial" w:hAnsi="Arial"/>
          <w:color w:val="1A1A2E"/>
          <w:sz w:val="22"/>
          <w:szCs w:val="22"/>
        </w:rPr>
        <w:t xml:space="preserve">Contact forms with CSRF protection and rate limiting</w:t>
      </w:r>
    </w:p>
    <w:p>
      <w:pPr>
        <w:pStyle w:val="ListParagraph"/>
        <w:numPr>
          <w:ilvl w:val="0"/>
          <w:numId w:val="2"/>
        </w:numPr>
        <w:spacing w:before="40" w:after="40"/>
      </w:pPr>
      <w:r>
        <w:rPr>
          <w:rFonts w:ascii="Arial" w:cs="Arial" w:eastAsia="Arial" w:hAnsi="Arial"/>
          <w:color w:val="1A1A2E"/>
          <w:sz w:val="22"/>
          <w:szCs w:val="22"/>
        </w:rPr>
        <w:t xml:space="preserve">Dependencies audited and updated at launch</w:t>
      </w:r>
    </w:p>
    <w:p>
      <w:pPr>
        <w:pStyle w:val="ListParagraph"/>
        <w:numPr>
          <w:ilvl w:val="0"/>
          <w:numId w:val="2"/>
        </w:numPr>
        <w:spacing w:before="40" w:after="40"/>
      </w:pPr>
      <w:r>
        <w:rPr>
          <w:rFonts w:ascii="Arial" w:cs="Arial" w:eastAsia="Arial" w:hAnsi="Arial"/>
          <w:color w:val="1A1A2E"/>
          <w:sz w:val="22"/>
          <w:szCs w:val="22"/>
        </w:rPr>
        <w:t xml:space="preserve">No credentials stored in version control</w:t>
      </w:r>
    </w:p>
    <w:p>
      <w:pPr>
        <w:pBdr>
          <w:bottom w:val="single" w:color="00B4D8" w:sz="3" w:space="1"/>
        </w:pBdr>
        <w:spacing w:before="200" w:after="200"/>
      </w:pPr>
    </w:p>
    <w:p>
      <w:pPr>
        <w:spacing w:before="480" w:after="60"/>
      </w:pPr>
      <w:r>
        <w:rPr>
          <w:rFonts w:ascii="Arial" w:cs="Arial" w:eastAsia="Arial" w:hAnsi="Arial"/>
          <w:b/>
          <w:bCs/>
          <w:caps/>
          <w:color w:val="C9860A"/>
          <w:sz w:val="18"/>
          <w:szCs w:val="18"/>
        </w:rPr>
        <w:t xml:space="preserve">◆ Section 10</w:t>
      </w:r>
    </w:p>
    <w:p>
      <w:pPr>
        <w:pStyle w:val="Heading1"/>
        <w:pBdr>
          <w:bottom w:val="single" w:color="00B4D8" w:sz="6" w:space="1"/>
        </w:pBdr>
        <w:spacing w:before="480" w:after="120"/>
      </w:pPr>
      <w:r>
        <w:rPr>
          <w:rFonts w:ascii="Arial" w:cs="Arial" w:eastAsia="Arial" w:hAnsi="Arial"/>
          <w:b/>
          <w:bCs/>
          <w:color w:val="003B5C"/>
          <w:sz w:val="36"/>
          <w:szCs w:val="36"/>
        </w:rPr>
        <w:t xml:space="preserve">10. Constraints &amp; Assumptions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BFCFDB" w:sz="1"/>
              <w:left w:val="single" w:color="BFCFDB" w:sz="1"/>
              <w:bottom w:val="single" w:color="BFCFDB" w:sz="1"/>
              <w:right w:val="single" w:color="BFCFDB" w:sz="1"/>
            </w:tcBorders>
            <w:shd w:fill="003B5C"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7160"/>
            <w:tcBorders>
              <w:top w:val="single" w:color="BFCFDB" w:sz="1"/>
              <w:left w:val="single" w:color="BFCFDB" w:sz="1"/>
              <w:bottom w:val="single" w:color="BFCFDB" w:sz="1"/>
              <w:right w:val="single" w:color="BFCFDB" w:sz="1"/>
            </w:tcBorders>
            <w:shd w:fill="003B5C"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24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Domain</w:t>
            </w:r>
          </w:p>
        </w:tc>
        <w:tc>
          <w:tcPr>
            <w:tcW w:type="dxa" w:w="716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liquidsaltdivers.com — existing domain retained. DNS transferred to new hosting.</w:t>
            </w:r>
          </w:p>
        </w:tc>
      </w:tr>
      <w:tr>
        <w:tc>
          <w:tcPr>
            <w:tcW w:type="dxa" w:w="24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Content</w:t>
            </w:r>
          </w:p>
        </w:tc>
        <w:tc>
          <w:tcPr>
            <w:tcW w:type="dxa" w:w="716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All existing content (courses, packages, team, gallery) migrated and retained.</w:t>
            </w:r>
          </w:p>
        </w:tc>
      </w:tr>
      <w:tr>
        <w:tc>
          <w:tcPr>
            <w:tcW w:type="dxa" w:w="24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Brand</w:t>
            </w:r>
          </w:p>
        </w:tc>
        <w:tc>
          <w:tcPr>
            <w:tcW w:type="dxa" w:w="716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Existing logo retained. Colour palette evolved from current blues. No rebrand.</w:t>
            </w:r>
          </w:p>
        </w:tc>
      </w:tr>
      <w:tr>
        <w:tc>
          <w:tcPr>
            <w:tcW w:type="dxa" w:w="24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Budget</w:t>
            </w:r>
          </w:p>
        </w:tc>
        <w:tc>
          <w:tcPr>
            <w:tcW w:type="dxa" w:w="716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TBC with stakeholder. Document assumes custom-coded solution, not Wix.</w:t>
            </w:r>
          </w:p>
        </w:tc>
      </w:tr>
      <w:tr>
        <w:tc>
          <w:tcPr>
            <w:tcW w:type="dxa" w:w="24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Timeline</w:t>
            </w:r>
          </w:p>
        </w:tc>
        <w:tc>
          <w:tcPr>
            <w:tcW w:type="dxa" w:w="716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Target launch: 12 weeks from design sign-off.</w:t>
            </w:r>
          </w:p>
        </w:tc>
      </w:tr>
      <w:tr>
        <w:tc>
          <w:tcPr>
            <w:tcW w:type="dxa" w:w="240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Photography</w:t>
            </w:r>
          </w:p>
        </w:tc>
        <w:tc>
          <w:tcPr>
            <w:tcW w:type="dxa" w:w="7160"/>
            <w:tcBorders>
              <w:top w:val="single" w:color="BFCFDB" w:sz="1"/>
              <w:left w:val="single" w:color="BFCFDB" w:sz="1"/>
              <w:bottom w:val="single" w:color="BFCFDB" w:sz="1"/>
              <w:right w:val="single" w:color="BFCFDB" w:sz="1"/>
            </w:tcBorders>
            <w:shd w:fill="E8F4FA" w:val="clear"/>
            <w:tcMar>
              <w:top w:type="dxa" w:w="80"/>
              <w:left w:type="dxa" w:w="140"/>
              <w:bottom w:type="dxa" w:w="80"/>
              <w:right w:type="dxa" w:w="140"/>
            </w:tcMar>
          </w:tcPr>
          <w:p>
            <w:r>
              <w:rPr>
                <w:rFonts w:ascii="Arial" w:cs="Arial" w:eastAsia="Arial" w:hAnsi="Arial"/>
                <w:color w:val="1A1A2E"/>
                <w:sz w:val="20"/>
                <w:szCs w:val="20"/>
              </w:rPr>
              <w:t xml:space="preserve">Existing photography to be curated. New underwater photography shoot recommended in Phase 2.</w:t>
            </w:r>
          </w:p>
        </w:tc>
      </w:tr>
      <w:tr>
        <w:tc>
          <w:tcPr>
            <w:tcW w:type="dxa" w:w="240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Platform</w:t>
            </w:r>
          </w:p>
        </w:tc>
        <w:tc>
          <w:tcPr>
            <w:tcW w:type="dxa" w:w="7160"/>
            <w:tcBorders>
              <w:top w:val="single" w:color="BFCFDB" w:sz="1"/>
              <w:left w:val="single" w:color="BFCFDB" w:sz="1"/>
              <w:bottom w:val="single" w:color="BFCFDB" w:sz="1"/>
              <w:right w:val="single" w:color="BFCF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Recommended: Next.js (React) with Vercel hosting, or Webflow for lower technical overhead.</w:t>
            </w:r>
          </w:p>
        </w:tc>
      </w:tr>
    </w:tbl>
    <w:p>
      <w:r>
        <w:br w:type="page"/>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B4D8" w:sz="4" w:space="1"/>
      </w:pBdr>
    </w:pPr>
    <w:r>
      <w:rPr>
        <w:rFonts w:ascii="Arial" w:cs="Arial" w:eastAsia="Arial" w:hAnsi="Arial"/>
        <w:color w:val="0077A8"/>
        <w:sz w:val="16"/>
        <w:szCs w:val="16"/>
      </w:rPr>
      <w:t xml:space="preserve">Confidential · liquidsaltdivers.com · PADI 5 Star Dive Centre · Dharavandhoo, Baa Atoll, Maldives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4" w:space="1"/>
      </w:pBdr>
    </w:pPr>
    <w:r>
      <w:rPr>
        <w:rFonts w:ascii="Arial" w:cs="Arial" w:eastAsia="Arial" w:hAnsi="Arial"/>
        <w:b/>
        <w:bCs/>
        <w:color w:val="003B5C"/>
        <w:sz w:val="18"/>
        <w:szCs w:val="18"/>
      </w:rPr>
      <w:t xml:space="preserve">LIQUID SALT DIVERS  ·  </w:t>
    </w:r>
    <w:r>
      <w:rPr>
        <w:rFonts w:ascii="Arial" w:cs="Arial" w:eastAsia="Arial" w:hAnsi="Arial"/>
        <w:color w:val="0077A8"/>
        <w:sz w:val="18"/>
        <w:szCs w:val="18"/>
      </w:rPr>
      <w:t xml:space="preserve">Product Requirements Document</w:t>
    </w:r>
    <w:r>
      <w:rPr>
        <w:rFonts w:ascii="Arial" w:cs="Arial" w:eastAsia="Arial" w:hAnsi="Arial"/>
        <w:color w:val="1A1A2E"/>
        <w:sz w:val="18"/>
        <w:szCs w:val="18"/>
      </w:rPr>
      <w:t xml:space="preserve">   Page </w:t>
    </w:r>
    <w:r>
      <w:rPr>
        <w:rFonts w:ascii="Arial" w:cs="Arial" w:eastAsia="Arial" w:hAnsi="Arial"/>
        <w:color w:val="1A1A2E"/>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Arial" w:cs="Arial" w:eastAsia="Arial" w:hAnsi="Arial"/>
      <w:b/>
      <w:bCs/>
      <w:color w:val="003B5C"/>
      <w:sz w:val="36"/>
      <w:szCs w:val="36"/>
    </w:rPr>
  </w:style>
  <w:style w:type="paragraph" w:styleId="Heading2">
    <w:name w:val="Heading 2"/>
    <w:basedOn w:val="Normal"/>
    <w:next w:val="Normal"/>
    <w:qFormat/>
    <w:pPr>
      <w:spacing w:before="360" w:after="80"/>
      <w:outlineLvl w:val="1"/>
    </w:pPr>
    <w:rPr>
      <w:rFonts w:ascii="Arial" w:cs="Arial" w:eastAsia="Arial" w:hAnsi="Arial"/>
      <w:b/>
      <w:bCs/>
      <w:color w:val="003B5C"/>
      <w:sz w:val="28"/>
      <w:szCs w:val="28"/>
    </w:rPr>
  </w:style>
  <w:style w:type="paragraph" w:styleId="Heading3">
    <w:name w:val="Heading 3"/>
    <w:basedOn w:val="Normal"/>
    <w:next w:val="Normal"/>
    <w:qFormat/>
    <w:pPr>
      <w:spacing w:before="240" w:after="60"/>
      <w:outlineLvl w:val="2"/>
    </w:pPr>
    <w:rPr>
      <w:rFonts w:ascii="Arial" w:cs="Arial" w:eastAsia="Arial" w:hAnsi="Arial"/>
      <w:b/>
      <w:bCs/>
      <w:color w:val="0077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2026-03-21T16:28:08.677Z</dcterms:created>
  <dcterms:modified xsi:type="dcterms:W3CDTF">2026-03-21T16:28:08.677Z</dcterms:modified>
</cp:coreProperties>
</file>

<file path=docProps/custom.xml><?xml version="1.0" encoding="utf-8"?>
<Properties xmlns="http://schemas.openxmlformats.org/officeDocument/2006/custom-properties" xmlns:vt="http://schemas.openxmlformats.org/officeDocument/2006/docPropsVTypes"/>
</file>