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B867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Theme="minorEastAsia"/>
          <w:lang w:val="en-US" w:eastAsia="zh-CN"/>
        </w:rPr>
      </w:pPr>
      <w:r>
        <w:rPr>
          <w:rFonts w:hint="eastAsia"/>
          <w:lang w:val="en-US" w:eastAsia="zh-CN"/>
        </w:rPr>
        <w:t>（页面引导展示图）</w:t>
      </w:r>
    </w:p>
    <w:p w14:paraId="709FB2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r>
        <w:drawing>
          <wp:inline distT="0" distB="0" distL="114300" distR="114300">
            <wp:extent cx="3408045" cy="2574290"/>
            <wp:effectExtent l="0" t="0" r="8255" b="3810"/>
            <wp:docPr id="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pic:cNvPicPr>
                      <a:picLocks noChangeAspect="1"/>
                    </pic:cNvPicPr>
                  </pic:nvPicPr>
                  <pic:blipFill>
                    <a:blip r:embed="rId4"/>
                    <a:stretch>
                      <a:fillRect/>
                    </a:stretch>
                  </pic:blipFill>
                  <pic:spPr>
                    <a:xfrm>
                      <a:off x="0" y="0"/>
                      <a:ext cx="3408045" cy="2574290"/>
                    </a:xfrm>
                    <a:prstGeom prst="rect">
                      <a:avLst/>
                    </a:prstGeom>
                    <a:noFill/>
                    <a:ln>
                      <a:noFill/>
                    </a:ln>
                  </pic:spPr>
                </pic:pic>
              </a:graphicData>
            </a:graphic>
          </wp:inline>
        </w:drawing>
      </w:r>
    </w:p>
    <w:p w14:paraId="292B44B9">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rPr>
      </w:pPr>
    </w:p>
    <w:p w14:paraId="63D7822F">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rPr>
      </w:pPr>
    </w:p>
    <w:sdt>
      <w:sdtPr>
        <w:rPr>
          <w:rFonts w:hint="eastAsia" w:ascii="黑体" w:hAnsi="黑体" w:eastAsia="黑体" w:cs="黑体"/>
          <w:kern w:val="2"/>
          <w:sz w:val="30"/>
          <w:szCs w:val="30"/>
          <w:lang w:val="en-US" w:eastAsia="zh-CN" w:bidi="ar-SA"/>
        </w:rPr>
        <w:id w:val="147463907"/>
        <w15:color w:val="DBDBDB"/>
        <w:docPartObj>
          <w:docPartGallery w:val="Table of Contents"/>
          <w:docPartUnique/>
        </w:docPartObj>
      </w:sdtPr>
      <w:sdtEndPr>
        <w:rPr>
          <w:rFonts w:hint="eastAsia" w:asciiTheme="minorHAnsi" w:hAnsiTheme="minorHAnsi" w:eastAsiaTheme="minorEastAsia" w:cstheme="minorBidi"/>
          <w:bCs/>
          <w:kern w:val="2"/>
          <w:sz w:val="21"/>
          <w:szCs w:val="24"/>
          <w:lang w:val="en-US" w:eastAsia="zh-CN" w:bidi="ar-SA"/>
        </w:rPr>
      </w:sdtEndPr>
      <w:sdtContent>
        <w:p w14:paraId="6DCC509A">
          <w:pPr>
            <w:spacing w:before="0" w:beforeLines="0" w:after="0" w:afterLines="0" w:line="240" w:lineRule="auto"/>
            <w:ind w:left="0" w:leftChars="0" w:right="0" w:rightChars="0" w:firstLine="0" w:firstLineChars="0"/>
            <w:jc w:val="center"/>
            <w:rPr>
              <w:rFonts w:hint="eastAsia" w:ascii="黑体" w:hAnsi="黑体" w:eastAsia="黑体" w:cs="黑体"/>
              <w:sz w:val="30"/>
              <w:szCs w:val="30"/>
            </w:rPr>
          </w:pPr>
          <w:r>
            <w:rPr>
              <w:rFonts w:hint="eastAsia" w:ascii="黑体" w:hAnsi="黑体" w:eastAsia="黑体" w:cs="黑体"/>
              <w:sz w:val="30"/>
              <w:szCs w:val="30"/>
            </w:rPr>
            <w:t>目</w:t>
          </w:r>
          <w:r>
            <w:rPr>
              <w:rFonts w:hint="eastAsia" w:ascii="黑体" w:hAnsi="黑体" w:eastAsia="黑体" w:cs="黑体"/>
              <w:sz w:val="30"/>
              <w:szCs w:val="30"/>
              <w:lang w:val="en-US" w:eastAsia="zh-CN"/>
            </w:rPr>
            <w:t xml:space="preserve">   </w:t>
          </w:r>
          <w:r>
            <w:rPr>
              <w:rFonts w:hint="eastAsia" w:ascii="黑体" w:hAnsi="黑体" w:eastAsia="黑体" w:cs="黑体"/>
              <w:sz w:val="30"/>
              <w:szCs w:val="30"/>
            </w:rPr>
            <w:t>录</w:t>
          </w:r>
        </w:p>
        <w:p w14:paraId="464481D5">
          <w:pPr>
            <w:pStyle w:val="7"/>
            <w:tabs>
              <w:tab w:val="right" w:leader="dot" w:pos="8306"/>
            </w:tabs>
          </w:pPr>
          <w:r>
            <w:rPr>
              <w:rFonts w:hint="eastAsia"/>
              <w:b/>
              <w:bCs/>
            </w:rPr>
            <w:fldChar w:fldCharType="begin"/>
          </w:r>
          <w:r>
            <w:rPr>
              <w:rFonts w:hint="eastAsia"/>
              <w:b/>
              <w:bCs/>
            </w:rPr>
            <w:instrText xml:space="preserve">TOC \o "1-3" \h \u </w:instrText>
          </w:r>
          <w:r>
            <w:rPr>
              <w:rFonts w:hint="eastAsia"/>
              <w:b/>
              <w:bCs/>
            </w:rPr>
            <w:fldChar w:fldCharType="separate"/>
          </w:r>
          <w:r>
            <w:rPr>
              <w:rFonts w:hint="eastAsia"/>
              <w:bCs/>
            </w:rPr>
            <w:fldChar w:fldCharType="begin"/>
          </w:r>
          <w:r>
            <w:rPr>
              <w:rFonts w:hint="eastAsia"/>
              <w:bCs/>
            </w:rPr>
            <w:instrText xml:space="preserve"> HYPERLINK \l _Toc30923 </w:instrText>
          </w:r>
          <w:r>
            <w:rPr>
              <w:rFonts w:hint="eastAsia"/>
              <w:bCs/>
            </w:rPr>
            <w:fldChar w:fldCharType="separate"/>
          </w:r>
          <w:r>
            <w:rPr>
              <w:rFonts w:hint="eastAsia"/>
            </w:rPr>
            <w:t>项目：基于迁移学习的土家织锦纹样分类模型研究</w:t>
          </w:r>
          <w:r>
            <w:tab/>
          </w:r>
          <w:r>
            <w:fldChar w:fldCharType="begin"/>
          </w:r>
          <w:r>
            <w:instrText xml:space="preserve"> PAGEREF _Toc30923 \h </w:instrText>
          </w:r>
          <w:r>
            <w:fldChar w:fldCharType="separate"/>
          </w:r>
          <w:r>
            <w:t>1</w:t>
          </w:r>
          <w:r>
            <w:fldChar w:fldCharType="end"/>
          </w:r>
          <w:r>
            <w:rPr>
              <w:rFonts w:hint="eastAsia"/>
              <w:bCs/>
            </w:rPr>
            <w:fldChar w:fldCharType="end"/>
          </w:r>
        </w:p>
        <w:p w14:paraId="3D6D0BDB">
          <w:pPr>
            <w:pStyle w:val="7"/>
            <w:tabs>
              <w:tab w:val="right" w:leader="dot" w:pos="8306"/>
            </w:tabs>
          </w:pPr>
          <w:r>
            <w:rPr>
              <w:rFonts w:hint="eastAsia"/>
              <w:bCs/>
            </w:rPr>
            <w:fldChar w:fldCharType="begin"/>
          </w:r>
          <w:r>
            <w:rPr>
              <w:rFonts w:hint="eastAsia"/>
              <w:bCs/>
            </w:rPr>
            <w:instrText xml:space="preserve"> HYPERLINK \l _Toc11051 </w:instrText>
          </w:r>
          <w:r>
            <w:rPr>
              <w:rFonts w:hint="eastAsia"/>
              <w:bCs/>
            </w:rPr>
            <w:fldChar w:fldCharType="separate"/>
          </w:r>
          <w:r>
            <w:rPr>
              <w:rFonts w:hint="eastAsia"/>
            </w:rPr>
            <w:t>1. 项目简介</w:t>
          </w:r>
          <w:r>
            <w:tab/>
          </w:r>
          <w:r>
            <w:fldChar w:fldCharType="begin"/>
          </w:r>
          <w:r>
            <w:instrText xml:space="preserve"> PAGEREF _Toc11051 \h </w:instrText>
          </w:r>
          <w:r>
            <w:fldChar w:fldCharType="separate"/>
          </w:r>
          <w:r>
            <w:t>2</w:t>
          </w:r>
          <w:r>
            <w:fldChar w:fldCharType="end"/>
          </w:r>
          <w:r>
            <w:rPr>
              <w:rFonts w:hint="eastAsia"/>
              <w:bCs/>
            </w:rPr>
            <w:fldChar w:fldCharType="end"/>
          </w:r>
        </w:p>
        <w:p w14:paraId="714AE9B0">
          <w:pPr>
            <w:pStyle w:val="7"/>
            <w:tabs>
              <w:tab w:val="right" w:leader="dot" w:pos="8306"/>
            </w:tabs>
          </w:pPr>
          <w:r>
            <w:rPr>
              <w:rFonts w:hint="eastAsia"/>
              <w:bCs/>
            </w:rPr>
            <w:fldChar w:fldCharType="begin"/>
          </w:r>
          <w:r>
            <w:rPr>
              <w:rFonts w:hint="eastAsia"/>
              <w:bCs/>
            </w:rPr>
            <w:instrText xml:space="preserve"> HYPERLINK \l _Toc8562 </w:instrText>
          </w:r>
          <w:r>
            <w:rPr>
              <w:rFonts w:hint="eastAsia"/>
              <w:bCs/>
            </w:rPr>
            <w:fldChar w:fldCharType="separate"/>
          </w:r>
          <w:r>
            <w:rPr>
              <w:rFonts w:hint="eastAsia"/>
            </w:rPr>
            <w:t>2. 项目难点与解决方案</w:t>
          </w:r>
          <w:r>
            <w:tab/>
          </w:r>
          <w:r>
            <w:fldChar w:fldCharType="begin"/>
          </w:r>
          <w:r>
            <w:instrText xml:space="preserve"> PAGEREF _Toc8562 \h </w:instrText>
          </w:r>
          <w:r>
            <w:fldChar w:fldCharType="separate"/>
          </w:r>
          <w:r>
            <w:t>2</w:t>
          </w:r>
          <w:r>
            <w:fldChar w:fldCharType="end"/>
          </w:r>
          <w:r>
            <w:rPr>
              <w:rFonts w:hint="eastAsia"/>
              <w:bCs/>
            </w:rPr>
            <w:fldChar w:fldCharType="end"/>
          </w:r>
        </w:p>
        <w:p w14:paraId="603BC9DC">
          <w:pPr>
            <w:pStyle w:val="8"/>
            <w:tabs>
              <w:tab w:val="right" w:leader="dot" w:pos="8306"/>
            </w:tabs>
          </w:pPr>
          <w:r>
            <w:rPr>
              <w:rFonts w:hint="eastAsia"/>
              <w:bCs/>
            </w:rPr>
            <w:fldChar w:fldCharType="begin"/>
          </w:r>
          <w:r>
            <w:rPr>
              <w:rFonts w:hint="eastAsia"/>
              <w:bCs/>
            </w:rPr>
            <w:instrText xml:space="preserve"> HYPERLINK \l _Toc11868 </w:instrText>
          </w:r>
          <w:r>
            <w:rPr>
              <w:rFonts w:hint="eastAsia"/>
              <w:bCs/>
            </w:rPr>
            <w:fldChar w:fldCharType="separate"/>
          </w:r>
          <w:r>
            <w:rPr>
              <w:rFonts w:hint="eastAsia"/>
            </w:rPr>
            <w:t>痛点一：数据极度稀缺与样本不均衡</w:t>
          </w:r>
          <w:r>
            <w:tab/>
          </w:r>
          <w:r>
            <w:fldChar w:fldCharType="begin"/>
          </w:r>
          <w:r>
            <w:instrText xml:space="preserve"> PAGEREF _Toc11868 \h </w:instrText>
          </w:r>
          <w:r>
            <w:fldChar w:fldCharType="separate"/>
          </w:r>
          <w:r>
            <w:t>2</w:t>
          </w:r>
          <w:r>
            <w:fldChar w:fldCharType="end"/>
          </w:r>
          <w:r>
            <w:rPr>
              <w:rFonts w:hint="eastAsia"/>
              <w:bCs/>
            </w:rPr>
            <w:fldChar w:fldCharType="end"/>
          </w:r>
        </w:p>
        <w:p w14:paraId="28D585BE">
          <w:pPr>
            <w:pStyle w:val="8"/>
            <w:tabs>
              <w:tab w:val="right" w:leader="dot" w:pos="8306"/>
            </w:tabs>
          </w:pPr>
          <w:r>
            <w:rPr>
              <w:rFonts w:hint="eastAsia"/>
              <w:bCs/>
            </w:rPr>
            <w:fldChar w:fldCharType="begin"/>
          </w:r>
          <w:r>
            <w:rPr>
              <w:rFonts w:hint="eastAsia"/>
              <w:bCs/>
            </w:rPr>
            <w:instrText xml:space="preserve"> HYPERLINK \l _Toc12429 </w:instrText>
          </w:r>
          <w:r>
            <w:rPr>
              <w:rFonts w:hint="eastAsia"/>
              <w:bCs/>
            </w:rPr>
            <w:fldChar w:fldCharType="separate"/>
          </w:r>
          <w:r>
            <w:rPr>
              <w:rFonts w:hint="eastAsia"/>
            </w:rPr>
            <w:t>痛点二：传统模型特征提取能力不足</w:t>
          </w:r>
          <w:r>
            <w:tab/>
          </w:r>
          <w:r>
            <w:fldChar w:fldCharType="begin"/>
          </w:r>
          <w:r>
            <w:instrText xml:space="preserve"> PAGEREF _Toc12429 \h </w:instrText>
          </w:r>
          <w:r>
            <w:fldChar w:fldCharType="separate"/>
          </w:r>
          <w:r>
            <w:t>2</w:t>
          </w:r>
          <w:r>
            <w:fldChar w:fldCharType="end"/>
          </w:r>
          <w:r>
            <w:rPr>
              <w:rFonts w:hint="eastAsia"/>
              <w:bCs/>
            </w:rPr>
            <w:fldChar w:fldCharType="end"/>
          </w:r>
        </w:p>
        <w:p w14:paraId="53462F56">
          <w:pPr>
            <w:pStyle w:val="8"/>
            <w:tabs>
              <w:tab w:val="right" w:leader="dot" w:pos="8306"/>
            </w:tabs>
          </w:pPr>
          <w:r>
            <w:rPr>
              <w:rFonts w:hint="eastAsia"/>
              <w:bCs/>
            </w:rPr>
            <w:fldChar w:fldCharType="begin"/>
          </w:r>
          <w:r>
            <w:rPr>
              <w:rFonts w:hint="eastAsia"/>
              <w:bCs/>
            </w:rPr>
            <w:instrText xml:space="preserve"> HYPERLINK \l _Toc1691 </w:instrText>
          </w:r>
          <w:r>
            <w:rPr>
              <w:rFonts w:hint="eastAsia"/>
              <w:bCs/>
            </w:rPr>
            <w:fldChar w:fldCharType="separate"/>
          </w:r>
          <w:r>
            <w:rPr>
              <w:rFonts w:hint="eastAsia"/>
            </w:rPr>
            <w:t>痛点三：小样本下的过拟合与标签噪声</w:t>
          </w:r>
          <w:r>
            <w:tab/>
          </w:r>
          <w:r>
            <w:fldChar w:fldCharType="begin"/>
          </w:r>
          <w:r>
            <w:instrText xml:space="preserve"> PAGEREF _Toc1691 \h </w:instrText>
          </w:r>
          <w:r>
            <w:fldChar w:fldCharType="separate"/>
          </w:r>
          <w:r>
            <w:t>3</w:t>
          </w:r>
          <w:r>
            <w:fldChar w:fldCharType="end"/>
          </w:r>
          <w:r>
            <w:rPr>
              <w:rFonts w:hint="eastAsia"/>
              <w:bCs/>
            </w:rPr>
            <w:fldChar w:fldCharType="end"/>
          </w:r>
        </w:p>
        <w:p w14:paraId="7C22729C">
          <w:pPr>
            <w:pStyle w:val="7"/>
            <w:tabs>
              <w:tab w:val="right" w:leader="dot" w:pos="8306"/>
            </w:tabs>
          </w:pPr>
          <w:r>
            <w:rPr>
              <w:rFonts w:hint="eastAsia"/>
              <w:bCs/>
            </w:rPr>
            <w:fldChar w:fldCharType="begin"/>
          </w:r>
          <w:r>
            <w:rPr>
              <w:rFonts w:hint="eastAsia"/>
              <w:bCs/>
            </w:rPr>
            <w:instrText xml:space="preserve"> HYPERLINK \l _Toc10297 </w:instrText>
          </w:r>
          <w:r>
            <w:rPr>
              <w:rFonts w:hint="eastAsia"/>
              <w:bCs/>
            </w:rPr>
            <w:fldChar w:fldCharType="separate"/>
          </w:r>
          <w:r>
            <w:rPr>
              <w:rFonts w:hint="eastAsia"/>
            </w:rPr>
            <w:t>3. 核心技术点</w:t>
          </w:r>
          <w:r>
            <w:tab/>
          </w:r>
          <w:r>
            <w:fldChar w:fldCharType="begin"/>
          </w:r>
          <w:r>
            <w:instrText xml:space="preserve"> PAGEREF _Toc10297 \h </w:instrText>
          </w:r>
          <w:r>
            <w:fldChar w:fldCharType="separate"/>
          </w:r>
          <w:r>
            <w:t>3</w:t>
          </w:r>
          <w:r>
            <w:fldChar w:fldCharType="end"/>
          </w:r>
          <w:r>
            <w:rPr>
              <w:rFonts w:hint="eastAsia"/>
              <w:bCs/>
            </w:rPr>
            <w:fldChar w:fldCharType="end"/>
          </w:r>
        </w:p>
        <w:p w14:paraId="4B31B86A">
          <w:pPr>
            <w:pStyle w:val="7"/>
            <w:tabs>
              <w:tab w:val="right" w:leader="dot" w:pos="8306"/>
            </w:tabs>
          </w:pPr>
          <w:r>
            <w:rPr>
              <w:rFonts w:hint="eastAsia"/>
              <w:bCs/>
            </w:rPr>
            <w:fldChar w:fldCharType="begin"/>
          </w:r>
          <w:r>
            <w:rPr>
              <w:rFonts w:hint="eastAsia"/>
              <w:bCs/>
            </w:rPr>
            <w:instrText xml:space="preserve"> HYPERLINK \l _Toc27383 </w:instrText>
          </w:r>
          <w:r>
            <w:rPr>
              <w:rFonts w:hint="eastAsia"/>
              <w:bCs/>
            </w:rPr>
            <w:fldChar w:fldCharType="separate"/>
          </w:r>
          <w:r>
            <w:rPr>
              <w:rFonts w:hint="eastAsia"/>
            </w:rPr>
            <w:t>4. 项目流程与实现</w:t>
          </w:r>
          <w:r>
            <w:tab/>
          </w:r>
          <w:r>
            <w:fldChar w:fldCharType="begin"/>
          </w:r>
          <w:r>
            <w:instrText xml:space="preserve"> PAGEREF _Toc27383 \h </w:instrText>
          </w:r>
          <w:r>
            <w:fldChar w:fldCharType="separate"/>
          </w:r>
          <w:r>
            <w:t>3</w:t>
          </w:r>
          <w:r>
            <w:fldChar w:fldCharType="end"/>
          </w:r>
          <w:r>
            <w:rPr>
              <w:rFonts w:hint="eastAsia"/>
              <w:bCs/>
            </w:rPr>
            <w:fldChar w:fldCharType="end"/>
          </w:r>
        </w:p>
        <w:p w14:paraId="25C972AA">
          <w:pPr>
            <w:pStyle w:val="8"/>
            <w:tabs>
              <w:tab w:val="right" w:leader="dot" w:pos="8306"/>
            </w:tabs>
          </w:pPr>
          <w:r>
            <w:rPr>
              <w:rFonts w:hint="eastAsia"/>
              <w:bCs/>
            </w:rPr>
            <w:fldChar w:fldCharType="begin"/>
          </w:r>
          <w:r>
            <w:rPr>
              <w:rFonts w:hint="eastAsia"/>
              <w:bCs/>
            </w:rPr>
            <w:instrText xml:space="preserve"> HYPERLINK \l _Toc13094 </w:instrText>
          </w:r>
          <w:r>
            <w:rPr>
              <w:rFonts w:hint="eastAsia"/>
              <w:bCs/>
            </w:rPr>
            <w:fldChar w:fldCharType="separate"/>
          </w:r>
          <w:r>
            <w:rPr>
              <w:rFonts w:hint="eastAsia"/>
            </w:rPr>
            <w:t>第一阶段：数据基石构建</w:t>
          </w:r>
          <w:r>
            <w:tab/>
          </w:r>
          <w:r>
            <w:fldChar w:fldCharType="begin"/>
          </w:r>
          <w:r>
            <w:instrText xml:space="preserve"> PAGEREF _Toc13094 \h </w:instrText>
          </w:r>
          <w:r>
            <w:fldChar w:fldCharType="separate"/>
          </w:r>
          <w:r>
            <w:t>3</w:t>
          </w:r>
          <w:r>
            <w:fldChar w:fldCharType="end"/>
          </w:r>
          <w:r>
            <w:rPr>
              <w:rFonts w:hint="eastAsia"/>
              <w:bCs/>
            </w:rPr>
            <w:fldChar w:fldCharType="end"/>
          </w:r>
        </w:p>
        <w:p w14:paraId="283736C7">
          <w:pPr>
            <w:pStyle w:val="8"/>
            <w:tabs>
              <w:tab w:val="right" w:leader="dot" w:pos="8306"/>
            </w:tabs>
          </w:pPr>
          <w:r>
            <w:rPr>
              <w:rFonts w:hint="eastAsia"/>
              <w:bCs/>
            </w:rPr>
            <w:fldChar w:fldCharType="begin"/>
          </w:r>
          <w:r>
            <w:rPr>
              <w:rFonts w:hint="eastAsia"/>
              <w:bCs/>
            </w:rPr>
            <w:instrText xml:space="preserve"> HYPERLINK \l _Toc21459 </w:instrText>
          </w:r>
          <w:r>
            <w:rPr>
              <w:rFonts w:hint="eastAsia"/>
              <w:bCs/>
            </w:rPr>
            <w:fldChar w:fldCharType="separate"/>
          </w:r>
          <w:r>
            <w:rPr>
              <w:rFonts w:hint="eastAsia"/>
            </w:rPr>
            <w:t>第二阶段：模型设计与改进</w:t>
          </w:r>
          <w:r>
            <w:tab/>
          </w:r>
          <w:r>
            <w:fldChar w:fldCharType="begin"/>
          </w:r>
          <w:r>
            <w:instrText xml:space="preserve"> PAGEREF _Toc21459 \h </w:instrText>
          </w:r>
          <w:r>
            <w:fldChar w:fldCharType="separate"/>
          </w:r>
          <w:r>
            <w:t>5</w:t>
          </w:r>
          <w:r>
            <w:fldChar w:fldCharType="end"/>
          </w:r>
          <w:r>
            <w:rPr>
              <w:rFonts w:hint="eastAsia"/>
              <w:bCs/>
            </w:rPr>
            <w:fldChar w:fldCharType="end"/>
          </w:r>
        </w:p>
        <w:p w14:paraId="2279212D">
          <w:pPr>
            <w:pStyle w:val="8"/>
            <w:tabs>
              <w:tab w:val="right" w:leader="dot" w:pos="8306"/>
            </w:tabs>
          </w:pPr>
          <w:r>
            <w:rPr>
              <w:rFonts w:hint="eastAsia"/>
              <w:bCs/>
            </w:rPr>
            <w:fldChar w:fldCharType="begin"/>
          </w:r>
          <w:r>
            <w:rPr>
              <w:rFonts w:hint="eastAsia"/>
              <w:bCs/>
            </w:rPr>
            <w:instrText xml:space="preserve"> HYPERLINK \l _Toc18129 </w:instrText>
          </w:r>
          <w:r>
            <w:rPr>
              <w:rFonts w:hint="eastAsia"/>
              <w:bCs/>
            </w:rPr>
            <w:fldChar w:fldCharType="separate"/>
          </w:r>
          <w:r>
            <w:rPr>
              <w:rFonts w:hint="eastAsia"/>
            </w:rPr>
            <w:t>第三阶段：</w:t>
          </w:r>
          <w:r>
            <w:rPr>
              <w:rFonts w:hint="eastAsia"/>
              <w:lang w:val="en-US" w:eastAsia="zh-CN"/>
            </w:rPr>
            <w:t>预训练与迁移</w:t>
          </w:r>
          <w:r>
            <w:tab/>
          </w:r>
          <w:r>
            <w:fldChar w:fldCharType="begin"/>
          </w:r>
          <w:r>
            <w:instrText xml:space="preserve"> PAGEREF _Toc18129 \h </w:instrText>
          </w:r>
          <w:r>
            <w:fldChar w:fldCharType="separate"/>
          </w:r>
          <w:r>
            <w:t>7</w:t>
          </w:r>
          <w:r>
            <w:fldChar w:fldCharType="end"/>
          </w:r>
          <w:r>
            <w:rPr>
              <w:rFonts w:hint="eastAsia"/>
              <w:bCs/>
            </w:rPr>
            <w:fldChar w:fldCharType="end"/>
          </w:r>
        </w:p>
        <w:p w14:paraId="5CFBA8FA">
          <w:pPr>
            <w:pStyle w:val="8"/>
            <w:tabs>
              <w:tab w:val="right" w:leader="dot" w:pos="8306"/>
            </w:tabs>
          </w:pPr>
          <w:r>
            <w:rPr>
              <w:rFonts w:hint="eastAsia"/>
              <w:bCs/>
            </w:rPr>
            <w:fldChar w:fldCharType="begin"/>
          </w:r>
          <w:r>
            <w:rPr>
              <w:rFonts w:hint="eastAsia"/>
              <w:bCs/>
            </w:rPr>
            <w:instrText xml:space="preserve"> HYPERLINK \l _Toc27828 </w:instrText>
          </w:r>
          <w:r>
            <w:rPr>
              <w:rFonts w:hint="eastAsia"/>
              <w:bCs/>
            </w:rPr>
            <w:fldChar w:fldCharType="separate"/>
          </w:r>
          <w:r>
            <w:rPr>
              <w:rFonts w:hint="eastAsia"/>
            </w:rPr>
            <w:t>第四阶段：</w:t>
          </w:r>
          <w:r>
            <w:rPr>
              <w:rFonts w:hint="eastAsia"/>
              <w:lang w:val="en-US" w:eastAsia="zh-CN"/>
            </w:rPr>
            <w:t>实验</w:t>
          </w:r>
          <w:r>
            <w:rPr>
              <w:rFonts w:hint="eastAsia"/>
            </w:rPr>
            <w:t>结果验证</w:t>
          </w:r>
          <w:r>
            <w:tab/>
          </w:r>
          <w:r>
            <w:fldChar w:fldCharType="begin"/>
          </w:r>
          <w:r>
            <w:instrText xml:space="preserve"> PAGEREF _Toc27828 \h </w:instrText>
          </w:r>
          <w:r>
            <w:fldChar w:fldCharType="separate"/>
          </w:r>
          <w:r>
            <w:t>8</w:t>
          </w:r>
          <w:r>
            <w:fldChar w:fldCharType="end"/>
          </w:r>
          <w:r>
            <w:rPr>
              <w:rFonts w:hint="eastAsia"/>
              <w:bCs/>
            </w:rPr>
            <w:fldChar w:fldCharType="end"/>
          </w:r>
        </w:p>
        <w:p w14:paraId="04E0B442">
          <w:pPr>
            <w:pStyle w:val="6"/>
            <w:tabs>
              <w:tab w:val="right" w:leader="dot" w:pos="8306"/>
            </w:tabs>
          </w:pPr>
          <w:r>
            <w:rPr>
              <w:rFonts w:hint="eastAsia"/>
              <w:bCs/>
            </w:rPr>
            <w:fldChar w:fldCharType="begin"/>
          </w:r>
          <w:r>
            <w:rPr>
              <w:rFonts w:hint="eastAsia"/>
              <w:bCs/>
            </w:rPr>
            <w:instrText xml:space="preserve"> HYPERLINK \l _Toc17575 </w:instrText>
          </w:r>
          <w:r>
            <w:rPr>
              <w:rFonts w:hint="eastAsia"/>
              <w:bCs/>
            </w:rPr>
            <w:fldChar w:fldCharType="separate"/>
          </w:r>
          <w:r>
            <w:rPr>
              <w:rFonts w:hint="eastAsia"/>
              <w:lang w:val="en-US" w:eastAsia="zh-CN"/>
            </w:rPr>
            <w:t>对比实验</w:t>
          </w:r>
          <w:r>
            <w:tab/>
          </w:r>
          <w:r>
            <w:fldChar w:fldCharType="begin"/>
          </w:r>
          <w:r>
            <w:instrText xml:space="preserve"> PAGEREF _Toc17575 \h </w:instrText>
          </w:r>
          <w:r>
            <w:fldChar w:fldCharType="separate"/>
          </w:r>
          <w:r>
            <w:t>8</w:t>
          </w:r>
          <w:r>
            <w:fldChar w:fldCharType="end"/>
          </w:r>
          <w:r>
            <w:rPr>
              <w:rFonts w:hint="eastAsia"/>
              <w:bCs/>
            </w:rPr>
            <w:fldChar w:fldCharType="end"/>
          </w:r>
        </w:p>
        <w:p w14:paraId="3FEC52D8">
          <w:pPr>
            <w:pStyle w:val="6"/>
            <w:tabs>
              <w:tab w:val="right" w:leader="dot" w:pos="8306"/>
            </w:tabs>
          </w:pPr>
          <w:r>
            <w:rPr>
              <w:rFonts w:hint="eastAsia"/>
              <w:bCs/>
            </w:rPr>
            <w:fldChar w:fldCharType="begin"/>
          </w:r>
          <w:r>
            <w:rPr>
              <w:rFonts w:hint="eastAsia"/>
              <w:bCs/>
            </w:rPr>
            <w:instrText xml:space="preserve"> HYPERLINK \l _Toc19816 </w:instrText>
          </w:r>
          <w:r>
            <w:rPr>
              <w:rFonts w:hint="eastAsia"/>
              <w:bCs/>
            </w:rPr>
            <w:fldChar w:fldCharType="separate"/>
          </w:r>
          <w:r>
            <w:rPr>
              <w:rFonts w:hint="eastAsia"/>
              <w:lang w:val="en-US" w:eastAsia="zh-CN"/>
            </w:rPr>
            <w:t>消融结果验证</w:t>
          </w:r>
          <w:r>
            <w:tab/>
          </w:r>
          <w:r>
            <w:fldChar w:fldCharType="begin"/>
          </w:r>
          <w:r>
            <w:instrText xml:space="preserve"> PAGEREF _Toc19816 \h </w:instrText>
          </w:r>
          <w:r>
            <w:fldChar w:fldCharType="separate"/>
          </w:r>
          <w:r>
            <w:t>8</w:t>
          </w:r>
          <w:r>
            <w:fldChar w:fldCharType="end"/>
          </w:r>
          <w:r>
            <w:rPr>
              <w:rFonts w:hint="eastAsia"/>
              <w:bCs/>
            </w:rPr>
            <w:fldChar w:fldCharType="end"/>
          </w:r>
        </w:p>
        <w:p w14:paraId="0EF601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HAnsi" w:hAnsiTheme="minorHAnsi" w:eastAsiaTheme="minorEastAsia" w:cstheme="minorBidi"/>
              <w:bCs/>
              <w:kern w:val="2"/>
              <w:sz w:val="21"/>
              <w:szCs w:val="24"/>
              <w:lang w:val="en-US" w:eastAsia="zh-CN" w:bidi="ar-SA"/>
            </w:rPr>
          </w:pPr>
          <w:r>
            <w:rPr>
              <w:rFonts w:hint="eastAsia"/>
              <w:bCs/>
            </w:rPr>
            <w:fldChar w:fldCharType="end"/>
          </w:r>
        </w:p>
      </w:sdtContent>
    </w:sdt>
    <w:p w14:paraId="0D9C70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HAnsi" w:hAnsiTheme="minorHAnsi" w:eastAsiaTheme="minorEastAsia" w:cstheme="minorBidi"/>
          <w:bCs/>
          <w:kern w:val="2"/>
          <w:sz w:val="21"/>
          <w:szCs w:val="24"/>
          <w:lang w:val="en-US" w:eastAsia="zh-CN" w:bidi="ar-SA"/>
        </w:rPr>
      </w:pPr>
    </w:p>
    <w:p w14:paraId="2FBB929D">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rPr>
      </w:pPr>
    </w:p>
    <w:p w14:paraId="378F4F6A">
      <w:pPr>
        <w:pStyle w:val="2"/>
        <w:bidi w:val="0"/>
        <w:rPr>
          <w:rFonts w:hint="eastAsia"/>
        </w:rPr>
      </w:pPr>
      <w:bookmarkStart w:id="0" w:name="_Toc30923"/>
      <w:r>
        <w:rPr>
          <w:rFonts w:hint="eastAsia"/>
        </w:rPr>
        <w:t>项目：基于迁移学习的土家织锦纹样分类模型研究</w:t>
      </w:r>
      <w:bookmarkEnd w:id="0"/>
    </w:p>
    <w:p w14:paraId="0E190A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eastAsiaTheme="minorEastAsia"/>
          <w:lang w:val="en-US" w:eastAsia="zh-CN"/>
        </w:rPr>
      </w:pPr>
      <w:r>
        <w:rPr>
          <w:rFonts w:hint="eastAsia"/>
        </w:rPr>
        <w:t xml:space="preserve">项目角色： </w:t>
      </w:r>
      <w:r>
        <w:rPr>
          <w:rFonts w:hint="eastAsia"/>
          <w:lang w:val="en-US" w:eastAsia="zh-CN"/>
        </w:rPr>
        <w:t>独立开发、算法设计与实现</w:t>
      </w:r>
    </w:p>
    <w:p w14:paraId="7D177E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技术栈： Python, PyTorch, EfficientNetV2, CBAM, Label Smoothing,迁移学习</w:t>
      </w:r>
    </w:p>
    <w:p w14:paraId="4B07A460">
      <w:pPr>
        <w:pStyle w:val="2"/>
        <w:bidi w:val="0"/>
        <w:rPr>
          <w:rFonts w:hint="eastAsia"/>
        </w:rPr>
      </w:pPr>
      <w:bookmarkStart w:id="1" w:name="_Toc11051"/>
      <w:r>
        <w:rPr>
          <w:rFonts w:hint="eastAsia"/>
        </w:rPr>
        <w:t>1. 项目简介</w:t>
      </w:r>
      <w:bookmarkEnd w:id="1"/>
    </w:p>
    <w:p w14:paraId="153188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本项目致力于解决国家级非物质文化遗产——“土家织锦”在数字化保护中面临的数据极度稀缺与纹样特征提取难的痛点。针对传统卷积神经网络（CNN）在小样本、高复杂度纹理识别上的局限性，我设计并实现了一套基于迁移学习与改进EfficientNetV2的智能分类系统。</w:t>
      </w:r>
    </w:p>
    <w:p w14:paraId="73E7C2C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系统成功构建了首个高质量土家织锦纹样数据集，并通过算法创新，在仅千余张样本的情况下，实现了99.3%的分类准确率，为纺织非遗的数字化传承提供了高精度的AI技术底座。</w:t>
      </w:r>
    </w:p>
    <w:p w14:paraId="08024ADE">
      <w:pPr>
        <w:pStyle w:val="2"/>
        <w:bidi w:val="0"/>
        <w:rPr>
          <w:rFonts w:hint="eastAsia"/>
        </w:rPr>
      </w:pPr>
      <w:bookmarkStart w:id="2" w:name="_Toc8562"/>
      <w:r>
        <w:rPr>
          <w:rFonts w:hint="eastAsia"/>
        </w:rPr>
        <w:t>2. 项目难点与解决方案</w:t>
      </w:r>
      <w:bookmarkEnd w:id="2"/>
    </w:p>
    <w:p w14:paraId="1B3FBC6E">
      <w:pPr>
        <w:pStyle w:val="3"/>
        <w:bidi w:val="0"/>
        <w:rPr>
          <w:rFonts w:hint="eastAsia"/>
        </w:rPr>
      </w:pPr>
      <w:bookmarkStart w:id="3" w:name="_Toc11868"/>
      <w:r>
        <w:rPr>
          <w:rFonts w:hint="eastAsia"/>
          <w:lang w:val="en-US" w:eastAsia="zh-CN"/>
        </w:rPr>
        <w:t xml:space="preserve">2.1 </w:t>
      </w:r>
      <w:r>
        <w:rPr>
          <w:rFonts w:hint="eastAsia"/>
        </w:rPr>
        <w:t>数据极度稀缺与样本不均衡</w:t>
      </w:r>
      <w:bookmarkEnd w:id="3"/>
    </w:p>
    <w:p w14:paraId="28A9235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现状： 土家织锦实物拍摄困难，特定纹样（如珍稀动物纹）图像极少，直接训练极易导致模型过拟合。</w:t>
      </w:r>
    </w:p>
    <w:p w14:paraId="084B14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创新策略： 采用“离线增强 + 在线增强”的双重数据增广策略。</w:t>
      </w:r>
    </w:p>
    <w:p w14:paraId="033C1A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离线增强： 针对样本极少的类别，进行旋转（90°/180°/270°）、翻转、高斯噪声添加及随机裁剪，从源头扩充数据规模。</w:t>
      </w:r>
    </w:p>
    <w:p w14:paraId="2E9D3E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在线增强： 训练时实时进行色彩抖动（HSV调整）和随机仿射变换，模拟真实拍摄环境的光照与角度变化，显著提升模型鲁棒性。</w:t>
      </w:r>
    </w:p>
    <w:p w14:paraId="70F649C4">
      <w:pPr>
        <w:pStyle w:val="3"/>
        <w:bidi w:val="0"/>
        <w:rPr>
          <w:rFonts w:hint="eastAsia"/>
        </w:rPr>
      </w:pPr>
      <w:bookmarkStart w:id="4" w:name="_Toc12429"/>
      <w:r>
        <w:rPr>
          <w:rFonts w:hint="eastAsia"/>
          <w:lang w:val="en-US" w:eastAsia="zh-CN"/>
        </w:rPr>
        <w:t xml:space="preserve">2.2 </w:t>
      </w:r>
      <w:r>
        <w:rPr>
          <w:rFonts w:hint="eastAsia"/>
        </w:rPr>
        <w:t>传统模型特征提取能力不足</w:t>
      </w:r>
      <w:bookmarkEnd w:id="4"/>
    </w:p>
    <w:p w14:paraId="77B08D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现状： 土家织锦纹样色彩对比强烈、几何结构复杂，普通CNN容易忽略关键纹理细节。</w:t>
      </w:r>
    </w:p>
    <w:p w14:paraId="0709F44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创新策略： 改进骨干网络，引入CBAM注意力机制。</w:t>
      </w:r>
    </w:p>
    <w:p w14:paraId="79E499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将EfficientNetV2中的SE模块替换为CBAM模块，让模型同时关注“通道”和“空间”两个维度。</w:t>
      </w:r>
    </w:p>
    <w:p w14:paraId="246B27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效果： 模型能更敏锐地捕捉织锦中高饱和度的色彩边界和精细的几何纹理，抑制复杂背景噪声。</w:t>
      </w:r>
    </w:p>
    <w:p w14:paraId="369674B0">
      <w:pPr>
        <w:pStyle w:val="3"/>
        <w:bidi w:val="0"/>
        <w:rPr>
          <w:rFonts w:hint="eastAsia"/>
        </w:rPr>
      </w:pPr>
      <w:bookmarkStart w:id="5" w:name="_Toc1691"/>
      <w:r>
        <w:rPr>
          <w:rFonts w:hint="eastAsia"/>
          <w:lang w:val="en-US" w:eastAsia="zh-CN"/>
        </w:rPr>
        <w:t>2.3</w:t>
      </w:r>
      <w:r>
        <w:rPr>
          <w:rFonts w:hint="eastAsia"/>
        </w:rPr>
        <w:t>小样本下的过拟合与标签噪声</w:t>
      </w:r>
      <w:bookmarkEnd w:id="5"/>
    </w:p>
    <w:p w14:paraId="4548CB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现状： 数据量小导致模型</w:t>
      </w:r>
      <w:bookmarkStart w:id="14" w:name="_GoBack"/>
      <w:bookmarkEnd w:id="14"/>
      <w:r>
        <w:rPr>
          <w:rFonts w:hint="eastAsia"/>
        </w:rPr>
        <w:t>泛化能力差，且存在标注误差风险。</w:t>
      </w:r>
    </w:p>
    <w:p w14:paraId="55AE45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创新策略： 引入标签平滑交叉熵损失函数 (Label Smoothing)。</w:t>
      </w:r>
    </w:p>
    <w:p w14:paraId="5D5109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通过软化目标标签分布，防止模型对错误标签过度自信，显著提升了模型在不平衡数据上的鲁棒性。</w:t>
      </w:r>
    </w:p>
    <w:p w14:paraId="0C190F23">
      <w:pPr>
        <w:pStyle w:val="2"/>
        <w:bidi w:val="0"/>
        <w:rPr>
          <w:rFonts w:hint="eastAsia"/>
        </w:rPr>
      </w:pPr>
      <w:bookmarkStart w:id="6" w:name="_Toc10297"/>
      <w:r>
        <w:rPr>
          <w:rFonts w:hint="eastAsia"/>
        </w:rPr>
        <w:t>3. 核心技术点</w:t>
      </w:r>
      <w:bookmarkEnd w:id="6"/>
    </w:p>
    <w:p w14:paraId="714A0B8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迁移学习策略： 采用基于模型的迁移学习方法。先在大型公共数据集（Animals-25）上进行预训练，提取通用特征（如边缘、纹理），再将模型迁移到土家织锦数据集（目标域）进行微调。</w:t>
      </w:r>
    </w:p>
    <w:p w14:paraId="450015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模型架构改进：</w:t>
      </w:r>
    </w:p>
    <w:p w14:paraId="68F549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骨干网络： EfficientNetV2-S（平衡了精度与效率）。</w:t>
      </w:r>
    </w:p>
    <w:p w14:paraId="3C2F53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创新模块： CBAM (Convolutional Block Attention Module) —— 融合通道注意力与空间注意力。</w:t>
      </w:r>
    </w:p>
    <w:p w14:paraId="0A44FD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损失函数： Label Smoothing Cross-Entropy。</w:t>
      </w:r>
    </w:p>
    <w:p w14:paraId="7AAC5C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微调策略： 采用分层解冻策略。冻结底层网络（保留预训练的通用特征提取能力），仅解冻深层网络和全连接层进行训练，有效解决了小样本学习难题。</w:t>
      </w:r>
    </w:p>
    <w:p w14:paraId="107DB3B3">
      <w:pPr>
        <w:pStyle w:val="2"/>
        <w:bidi w:val="0"/>
        <w:rPr>
          <w:rFonts w:hint="eastAsia"/>
        </w:rPr>
      </w:pPr>
      <w:bookmarkStart w:id="7" w:name="_Toc27383"/>
      <w:r>
        <w:rPr>
          <w:rFonts w:hint="eastAsia"/>
        </w:rPr>
        <w:t>4. 项目流程与实现</w:t>
      </w:r>
      <w:bookmarkEnd w:id="7"/>
    </w:p>
    <w:p w14:paraId="0F2793A3">
      <w:pPr>
        <w:pStyle w:val="3"/>
        <w:bidi w:val="0"/>
        <w:rPr>
          <w:rFonts w:hint="eastAsia"/>
        </w:rPr>
      </w:pPr>
      <w:bookmarkStart w:id="8" w:name="_Toc13094"/>
      <w:r>
        <w:rPr>
          <w:rFonts w:hint="eastAsia"/>
          <w:lang w:val="en-US" w:eastAsia="zh-CN"/>
        </w:rPr>
        <w:t xml:space="preserve">4.1 </w:t>
      </w:r>
      <w:r>
        <w:rPr>
          <w:rFonts w:hint="eastAsia"/>
        </w:rPr>
        <w:t>数据基石构建</w:t>
      </w:r>
      <w:bookmarkEnd w:id="8"/>
    </w:p>
    <w:p w14:paraId="753DFA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田野采集： 深入湘西实地采集1000+张高清织锦图像。</w:t>
      </w:r>
      <w:r>
        <w:rPr>
          <w:rFonts w:hint="eastAsia"/>
          <w:lang w:val="en-US" w:eastAsia="zh-CN"/>
        </w:rPr>
        <w:t>通过</w:t>
      </w:r>
      <w:r>
        <w:rPr>
          <w:rFonts w:hint="eastAsia"/>
        </w:rPr>
        <w:t>数据清洗与标注</w:t>
      </w:r>
      <w:r>
        <w:rPr>
          <w:rFonts w:hint="eastAsia"/>
          <w:lang w:eastAsia="zh-CN"/>
        </w:rPr>
        <w:t>，</w:t>
      </w:r>
      <w:r>
        <w:rPr>
          <w:rFonts w:hint="eastAsia"/>
        </w:rPr>
        <w:t>筛选有效图像，构建包含动物、植物、几何、文字4大类共20子类的高质量数据集。</w:t>
      </w:r>
    </w:p>
    <w:p w14:paraId="2E8A9C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drawing>
          <wp:inline distT="0" distB="0" distL="114300" distR="114300">
            <wp:extent cx="3406775" cy="3822065"/>
            <wp:effectExtent l="0" t="0" r="9525" b="635"/>
            <wp:docPr id="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2"/>
                    <pic:cNvPicPr>
                      <a:picLocks noChangeAspect="1"/>
                    </pic:cNvPicPr>
                  </pic:nvPicPr>
                  <pic:blipFill>
                    <a:blip r:embed="rId5"/>
                    <a:stretch>
                      <a:fillRect/>
                    </a:stretch>
                  </pic:blipFill>
                  <pic:spPr>
                    <a:xfrm>
                      <a:off x="0" y="0"/>
                      <a:ext cx="3406775" cy="3822065"/>
                    </a:xfrm>
                    <a:prstGeom prst="rect">
                      <a:avLst/>
                    </a:prstGeom>
                    <a:noFill/>
                    <a:ln>
                      <a:noFill/>
                    </a:ln>
                  </pic:spPr>
                </pic:pic>
              </a:graphicData>
            </a:graphic>
          </wp:inline>
        </w:drawing>
      </w:r>
    </w:p>
    <w:p w14:paraId="7291AA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预处理： 统一尺寸为512×512，进行归一化处理。</w:t>
      </w:r>
    </w:p>
    <w:p w14:paraId="4C86BF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数据增强：在模型读取图像数据之前，主要通过两种策略实施数据增强，一是在输入模型之前对所有原始数据加以变换，从根本上扩大整个数据集的规模（离线增强）；二是采用动态批处理增强策略，在输入前实时进行增强操作（在线增强）。</w:t>
      </w:r>
    </w:p>
    <w:p w14:paraId="37A63E4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lang w:val="en-US" w:eastAsia="zh-CN"/>
        </w:rPr>
        <w:t>在离线增强阶段，主要针对图像数量较少的动物纹样类别，依次采用以下方法对土家织锦图像数据集进行处理：水平与垂直翻转；图像旋转，按顺时针依次进行90、180、270度旋转；随机裁剪，分别取原图左上、左下、右上、右下四个部分进行随机像素的裁剪，并将裁剪后图像扩至512×512像素；添加高斯噪声，取原图左上、左下、右上、右下四个部分添加适量的高斯噪声，提升模型训练时的抗干扰能力‌。</w:t>
      </w:r>
    </w:p>
    <w:p w14:paraId="77C894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drawing>
          <wp:inline distT="0" distB="0" distL="114300" distR="114300">
            <wp:extent cx="4426585" cy="2362835"/>
            <wp:effectExtent l="0" t="0" r="5715" b="12065"/>
            <wp:docPr id="7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5"/>
                    <pic:cNvPicPr>
                      <a:picLocks noChangeAspect="1"/>
                    </pic:cNvPicPr>
                  </pic:nvPicPr>
                  <pic:blipFill>
                    <a:blip r:embed="rId6"/>
                    <a:stretch>
                      <a:fillRect/>
                    </a:stretch>
                  </pic:blipFill>
                  <pic:spPr>
                    <a:xfrm>
                      <a:off x="0" y="0"/>
                      <a:ext cx="4426585" cy="2362835"/>
                    </a:xfrm>
                    <a:prstGeom prst="rect">
                      <a:avLst/>
                    </a:prstGeom>
                    <a:noFill/>
                    <a:ln>
                      <a:noFill/>
                    </a:ln>
                  </pic:spPr>
                </pic:pic>
              </a:graphicData>
            </a:graphic>
          </wp:inline>
        </w:drawing>
      </w:r>
    </w:p>
    <w:p w14:paraId="3C693F58">
      <w:pPr>
        <w:pStyle w:val="3"/>
        <w:bidi w:val="0"/>
        <w:rPr>
          <w:rFonts w:hint="eastAsia"/>
        </w:rPr>
      </w:pPr>
      <w:bookmarkStart w:id="9" w:name="_Toc21459"/>
      <w:r>
        <w:rPr>
          <w:rFonts w:hint="eastAsia"/>
          <w:lang w:val="en-US" w:eastAsia="zh-CN"/>
        </w:rPr>
        <w:t xml:space="preserve">4.2 </w:t>
      </w:r>
      <w:r>
        <w:rPr>
          <w:rFonts w:hint="eastAsia"/>
        </w:rPr>
        <w:t>模型设计与改进</w:t>
      </w:r>
      <w:bookmarkEnd w:id="9"/>
    </w:p>
    <w:p w14:paraId="2B2B71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网络构建： 基于PyTorch框架搭建EfficientNetV2网络。</w:t>
      </w:r>
    </w:p>
    <w:p w14:paraId="70F47B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模块替换： 编写代码将MBConv模块中的SE模块替换为自定义的CBAM模块。CBAM结合了通道注意力模块（CAM）和空间注意力模块（SAM），分别对通道和空间的注意力进行建模，动态调整特征图中各部分的重要性。在土家织锦纹样识别和分类任务中，CBAM机制显著提升对土家织锦高饱和度色彩边界、几何对称结构和纹理重复模式等判别性特征的响应强度，同时抑制背景噪声等影响；空间注意力精准定位图案纹样中的关键区域，有效忽略织物褶皱、图像边缘和阴影等无关信息。</w:t>
      </w:r>
    </w:p>
    <w:p w14:paraId="436B67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0669C2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drawing>
          <wp:inline distT="0" distB="0" distL="114300" distR="114300">
            <wp:extent cx="3509010" cy="2607945"/>
            <wp:effectExtent l="0" t="0" r="8890" b="8255"/>
            <wp:docPr id="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
                    <pic:cNvPicPr>
                      <a:picLocks noChangeAspect="1"/>
                    </pic:cNvPicPr>
                  </pic:nvPicPr>
                  <pic:blipFill>
                    <a:blip r:embed="rId7"/>
                    <a:stretch>
                      <a:fillRect/>
                    </a:stretch>
                  </pic:blipFill>
                  <pic:spPr>
                    <a:xfrm>
                      <a:off x="0" y="0"/>
                      <a:ext cx="3509010" cy="2607945"/>
                    </a:xfrm>
                    <a:prstGeom prst="rect">
                      <a:avLst/>
                    </a:prstGeom>
                    <a:noFill/>
                    <a:ln>
                      <a:noFill/>
                    </a:ln>
                  </pic:spPr>
                </pic:pic>
              </a:graphicData>
            </a:graphic>
          </wp:inline>
        </w:drawing>
      </w:r>
    </w:p>
    <w:p w14:paraId="6C342C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损失函数集成：为防止模型对训练标签过度自信，提升模型对噪声标签的鲁棒性，损失函数使用标签平滑交叉熵损失函数（Label Smoothing Cross-Entropy），其计算公式如式</w:t>
      </w:r>
      <w:r>
        <w:rPr>
          <w:rFonts w:hint="eastAsia"/>
          <w:lang w:eastAsia="zh-CN"/>
        </w:rPr>
        <w:t>：</w:t>
      </w:r>
    </w:p>
    <w:p w14:paraId="3CECFE97">
      <w:pPr>
        <w:keepNext w:val="0"/>
        <w:keepLines w:val="0"/>
        <w:pageBreakBefore w:val="0"/>
        <w:widowControl w:val="0"/>
        <w:kinsoku/>
        <w:wordWrap/>
        <w:overflowPunct/>
        <w:topLinePunct w:val="0"/>
        <w:autoSpaceDE/>
        <w:autoSpaceDN/>
        <w:bidi w:val="0"/>
        <w:adjustRightInd/>
        <w:snapToGrid/>
        <w:spacing w:line="360" w:lineRule="auto"/>
        <w:ind w:left="1678" w:firstLine="420" w:firstLineChars="200"/>
        <w:textAlignment w:val="auto"/>
        <w:rPr>
          <w:rFonts w:hAnsi="Cambria Math"/>
          <w:color w:val="0D0D0D" w:themeColor="text1" w:themeTint="F2"/>
          <w:sz w:val="21"/>
          <w:szCs w:val="21"/>
          <w14:textFill>
            <w14:solidFill>
              <w14:schemeClr w14:val="tx1">
                <w14:lumMod w14:val="95000"/>
                <w14:lumOff w14:val="5000"/>
              </w14:schemeClr>
            </w14:solidFill>
          </w14:textFill>
        </w:rPr>
      </w:pPr>
      <m:oMath>
        <m:r>
          <m:rPr/>
          <w:rPr>
            <w:rFonts w:ascii="Cambria Math" w:hAnsi="Cambria Math"/>
            <w:color w:val="0D0D0D" w:themeColor="text1" w:themeTint="F2"/>
            <w:sz w:val="21"/>
            <w:szCs w:val="21"/>
            <w14:textFill>
              <w14:solidFill>
                <w14:schemeClr w14:val="tx1">
                  <w14:lumMod w14:val="95000"/>
                  <w14:lumOff w14:val="5000"/>
                </w14:schemeClr>
              </w14:solidFill>
            </w14:textFill>
          </w:rPr>
          <m:t>L</m:t>
        </m:r>
        <m:r>
          <m:rPr>
            <m:sty m:val="p"/>
          </m:rPr>
          <w:rPr>
            <w:rFonts w:ascii="Cambria Math" w:hAnsi="Cambria Math"/>
            <w:color w:val="0D0D0D" w:themeColor="text1" w:themeTint="F2"/>
            <w:sz w:val="21"/>
            <w:szCs w:val="21"/>
            <w14:textFill>
              <w14:solidFill>
                <w14:schemeClr w14:val="tx1">
                  <w14:lumMod w14:val="95000"/>
                  <w14:lumOff w14:val="5000"/>
                </w14:schemeClr>
              </w14:solidFill>
            </w14:textFill>
          </w:rPr>
          <m:t>=</m:t>
        </m:r>
        <m:r>
          <m:rPr/>
          <w:rPr>
            <w:rFonts w:ascii="Cambria Math" w:hAnsi="Cambria Math"/>
            <w:color w:val="0D0D0D" w:themeColor="text1" w:themeTint="F2"/>
            <w:sz w:val="21"/>
            <w:szCs w:val="21"/>
            <w14:textFill>
              <w14:solidFill>
                <w14:schemeClr w14:val="tx1">
                  <w14:lumMod w14:val="95000"/>
                  <w14:lumOff w14:val="5000"/>
                </w14:schemeClr>
              </w14:solidFill>
            </w14:textFill>
          </w:rPr>
          <m:t>(1−α)</m:t>
        </m:r>
        <m:r>
          <m:rPr/>
          <w:rPr>
            <w:rFonts w:ascii="Cambria Math" w:hAnsi="Cambria Math" w:cs="Cambria Math"/>
            <w:color w:val="0D0D0D" w:themeColor="text1" w:themeTint="F2"/>
            <w:sz w:val="21"/>
            <w:szCs w:val="21"/>
            <w14:textFill>
              <w14:solidFill>
                <w14:schemeClr w14:val="tx1">
                  <w14:lumMod w14:val="95000"/>
                  <w14:lumOff w14:val="5000"/>
                </w14:schemeClr>
              </w14:solidFill>
            </w14:textFill>
          </w:rPr>
          <m:t>∙</m:t>
        </m:r>
        <m:r>
          <m:rPr/>
          <w:rPr>
            <w:rFonts w:ascii="Cambria Math" w:hAnsi="Cambria Math"/>
            <w:color w:val="0D0D0D" w:themeColor="text1" w:themeTint="F2"/>
            <w:sz w:val="21"/>
            <w:szCs w:val="21"/>
            <w14:textFill>
              <w14:solidFill>
                <w14:schemeClr w14:val="tx1">
                  <w14:lumMod w14:val="95000"/>
                  <w14:lumOff w14:val="5000"/>
                </w14:schemeClr>
              </w14:solidFill>
            </w14:textFill>
          </w:rPr>
          <m:t>[</m:t>
        </m:r>
        <m:r>
          <m:rPr/>
          <w:rPr>
            <w:rFonts w:hint="eastAsia" w:ascii="Cambria Math" w:hAnsi="Cambria Math"/>
            <w:color w:val="0D0D0D" w:themeColor="text1" w:themeTint="F2"/>
            <w:sz w:val="21"/>
            <w:szCs w:val="21"/>
            <w14:textFill>
              <w14:solidFill>
                <w14:schemeClr w14:val="tx1">
                  <w14:lumMod w14:val="95000"/>
                  <w14:lumOff w14:val="5000"/>
                </w14:schemeClr>
              </w14:solidFill>
            </w14:textFill>
          </w:rPr>
          <m:t>－</m:t>
        </m:r>
        <m:r>
          <m:rPr/>
          <w:rPr>
            <w:rFonts w:ascii="Cambria Math" w:hAnsi="Cambria Math"/>
            <w:color w:val="0D0D0D" w:themeColor="text1" w:themeTint="F2"/>
            <w:sz w:val="21"/>
            <w:szCs w:val="21"/>
            <w14:textFill>
              <w14:solidFill>
                <w14:schemeClr w14:val="tx1">
                  <w14:lumMod w14:val="95000"/>
                  <w14:lumOff w14:val="5000"/>
                </w14:schemeClr>
              </w14:solidFill>
            </w14:textFill>
          </w:rPr>
          <m:t>log</m:t>
        </m:r>
        <m:sSub>
          <m:sSubPr>
            <m:ctrlPr>
              <w:rPr>
                <w:rFonts w:ascii="Cambria Math" w:hAnsi="Cambria Math"/>
                <w:i/>
                <w:iCs/>
                <w:color w:val="0D0D0D" w:themeColor="text1" w:themeTint="F2"/>
                <w:sz w:val="21"/>
                <w:szCs w:val="21"/>
                <w14:textFill>
                  <w14:solidFill>
                    <w14:schemeClr w14:val="tx1">
                      <w14:lumMod w14:val="95000"/>
                      <w14:lumOff w14:val="5000"/>
                    </w14:schemeClr>
                  </w14:solidFill>
                </w14:textFill>
              </w:rPr>
            </m:ctrlPr>
          </m:sSubPr>
          <m:e>
            <m:r>
              <m:rPr/>
              <w:rPr>
                <w:rFonts w:ascii="Cambria Math" w:hAnsi="Cambria Math"/>
                <w:color w:val="0D0D0D" w:themeColor="text1" w:themeTint="F2"/>
                <w:sz w:val="21"/>
                <w:szCs w:val="21"/>
                <w14:textFill>
                  <w14:solidFill>
                    <w14:schemeClr w14:val="tx1">
                      <w14:lumMod w14:val="95000"/>
                      <w14:lumOff w14:val="5000"/>
                    </w14:schemeClr>
                  </w14:solidFill>
                </w14:textFill>
              </w:rPr>
              <m:t xml:space="preserve"> p</m:t>
            </m:r>
            <m:ctrlPr>
              <w:rPr>
                <w:rFonts w:ascii="Cambria Math" w:hAnsi="Cambria Math"/>
                <w:i/>
                <w:iCs/>
                <w:color w:val="0D0D0D" w:themeColor="text1" w:themeTint="F2"/>
                <w:sz w:val="21"/>
                <w:szCs w:val="21"/>
                <w14:textFill>
                  <w14:solidFill>
                    <w14:schemeClr w14:val="tx1">
                      <w14:lumMod w14:val="95000"/>
                      <w14:lumOff w14:val="5000"/>
                    </w14:schemeClr>
                  </w14:solidFill>
                </w14:textFill>
              </w:rPr>
            </m:ctrlPr>
          </m:e>
          <m:sub>
            <m:r>
              <m:rPr/>
              <w:rPr>
                <w:rFonts w:ascii="Cambria Math" w:hAnsi="Cambria Math"/>
                <w:color w:val="0D0D0D" w:themeColor="text1" w:themeTint="F2"/>
                <w:sz w:val="21"/>
                <w:szCs w:val="21"/>
                <w14:textFill>
                  <w14:solidFill>
                    <w14:schemeClr w14:val="tx1">
                      <w14:lumMod w14:val="95000"/>
                      <w14:lumOff w14:val="5000"/>
                    </w14:schemeClr>
                  </w14:solidFill>
                </w14:textFill>
              </w:rPr>
              <m:t>t</m:t>
            </m:r>
            <m:ctrlPr>
              <w:rPr>
                <w:rFonts w:ascii="Cambria Math" w:hAnsi="Cambria Math"/>
                <w:i/>
                <w:iCs/>
                <w:color w:val="0D0D0D" w:themeColor="text1" w:themeTint="F2"/>
                <w:sz w:val="21"/>
                <w:szCs w:val="21"/>
                <w14:textFill>
                  <w14:solidFill>
                    <w14:schemeClr w14:val="tx1">
                      <w14:lumMod w14:val="95000"/>
                      <w14:lumOff w14:val="5000"/>
                    </w14:schemeClr>
                  </w14:solidFill>
                </w14:textFill>
              </w:rPr>
            </m:ctrlPr>
          </m:sub>
        </m:sSub>
        <m:r>
          <m:rPr/>
          <w:rPr>
            <w:rFonts w:ascii="Cambria Math" w:hAnsi="Cambria Math"/>
            <w:color w:val="0D0D0D" w:themeColor="text1" w:themeTint="F2"/>
            <w:sz w:val="21"/>
            <w:szCs w:val="21"/>
            <w14:textFill>
              <w14:solidFill>
                <w14:schemeClr w14:val="tx1">
                  <w14:lumMod w14:val="95000"/>
                  <w14:lumOff w14:val="5000"/>
                </w14:schemeClr>
              </w14:solidFill>
            </w14:textFill>
          </w:rPr>
          <m:t>]+α</m:t>
        </m:r>
        <m:r>
          <m:rPr/>
          <w:rPr>
            <w:rFonts w:ascii="Cambria Math" w:hAnsi="Cambria Math" w:cs="Cambria Math"/>
            <w:color w:val="0D0D0D" w:themeColor="text1" w:themeTint="F2"/>
            <w:sz w:val="21"/>
            <w:szCs w:val="21"/>
            <w14:textFill>
              <w14:solidFill>
                <w14:schemeClr w14:val="tx1">
                  <w14:lumMod w14:val="95000"/>
                  <w14:lumOff w14:val="5000"/>
                </w14:schemeClr>
              </w14:solidFill>
            </w14:textFill>
          </w:rPr>
          <m:t>∙</m:t>
        </m:r>
        <m:r>
          <m:rPr/>
          <w:rPr>
            <w:rFonts w:ascii="Cambria Math" w:hAnsi="Cambria Math"/>
            <w:color w:val="0D0D0D" w:themeColor="text1" w:themeTint="F2"/>
            <w:sz w:val="21"/>
            <w:szCs w:val="21"/>
            <w14:textFill>
              <w14:solidFill>
                <w14:schemeClr w14:val="tx1">
                  <w14:lumMod w14:val="95000"/>
                  <w14:lumOff w14:val="5000"/>
                </w14:schemeClr>
              </w14:solidFill>
            </w14:textFill>
          </w:rPr>
          <m:t>[−</m:t>
        </m:r>
        <m:f>
          <m:fPr>
            <m:ctrlPr>
              <w:rPr>
                <w:rFonts w:ascii="Cambria Math" w:hAnsi="Cambria Math"/>
                <w:i/>
                <w:color w:val="0D0D0D" w:themeColor="text1" w:themeTint="F2"/>
                <w:sz w:val="21"/>
                <w:szCs w:val="21"/>
                <w14:textFill>
                  <w14:solidFill>
                    <w14:schemeClr w14:val="tx1">
                      <w14:lumMod w14:val="95000"/>
                      <w14:lumOff w14:val="5000"/>
                    </w14:schemeClr>
                  </w14:solidFill>
                </w14:textFill>
              </w:rPr>
            </m:ctrlPr>
          </m:fPr>
          <m:num>
            <m:r>
              <m:rPr/>
              <w:rPr>
                <w:rFonts w:ascii="Cambria Math" w:hAnsi="Cambria Math"/>
                <w:color w:val="0D0D0D" w:themeColor="text1" w:themeTint="F2"/>
                <w:sz w:val="21"/>
                <w:szCs w:val="21"/>
                <w14:textFill>
                  <w14:solidFill>
                    <w14:schemeClr w14:val="tx1">
                      <w14:lumMod w14:val="95000"/>
                      <w14:lumOff w14:val="5000"/>
                    </w14:schemeClr>
                  </w14:solidFill>
                </w14:textFill>
              </w:rPr>
              <m:t>1</m:t>
            </m:r>
            <m:ctrlPr>
              <w:rPr>
                <w:rFonts w:ascii="Cambria Math" w:hAnsi="Cambria Math"/>
                <w:i/>
                <w:color w:val="0D0D0D" w:themeColor="text1" w:themeTint="F2"/>
                <w:sz w:val="21"/>
                <w:szCs w:val="21"/>
                <w14:textFill>
                  <w14:solidFill>
                    <w14:schemeClr w14:val="tx1">
                      <w14:lumMod w14:val="95000"/>
                      <w14:lumOff w14:val="5000"/>
                    </w14:schemeClr>
                  </w14:solidFill>
                </w14:textFill>
              </w:rPr>
            </m:ctrlPr>
          </m:num>
          <m:den>
            <m:r>
              <m:rPr/>
              <w:rPr>
                <w:rFonts w:ascii="Cambria Math" w:hAnsi="Cambria Math"/>
                <w:color w:val="0D0D0D" w:themeColor="text1" w:themeTint="F2"/>
                <w:sz w:val="21"/>
                <w:szCs w:val="21"/>
                <w14:textFill>
                  <w14:solidFill>
                    <w14:schemeClr w14:val="tx1">
                      <w14:lumMod w14:val="95000"/>
                      <w14:lumOff w14:val="5000"/>
                    </w14:schemeClr>
                  </w14:solidFill>
                </w14:textFill>
              </w:rPr>
              <m:t>C</m:t>
            </m:r>
            <m:ctrlPr>
              <w:rPr>
                <w:rFonts w:ascii="Cambria Math" w:hAnsi="Cambria Math"/>
                <w:i/>
                <w:color w:val="0D0D0D" w:themeColor="text1" w:themeTint="F2"/>
                <w:sz w:val="21"/>
                <w:szCs w:val="21"/>
                <w14:textFill>
                  <w14:solidFill>
                    <w14:schemeClr w14:val="tx1">
                      <w14:lumMod w14:val="95000"/>
                      <w14:lumOff w14:val="5000"/>
                    </w14:schemeClr>
                  </w14:solidFill>
                </w14:textFill>
              </w:rPr>
            </m:ctrlPr>
          </m:den>
        </m:f>
        <m:nary>
          <m:naryPr>
            <m:chr m:val="∑"/>
            <m:limLoc m:val="undOvr"/>
            <m:ctrlPr>
              <w:rPr>
                <w:rFonts w:ascii="Cambria Math" w:hAnsi="Cambria Math"/>
                <w:i/>
                <w:color w:val="0D0D0D" w:themeColor="text1" w:themeTint="F2"/>
                <w:sz w:val="21"/>
                <w:szCs w:val="21"/>
                <w14:textFill>
                  <w14:solidFill>
                    <w14:schemeClr w14:val="tx1">
                      <w14:lumMod w14:val="95000"/>
                      <w14:lumOff w14:val="5000"/>
                    </w14:schemeClr>
                  </w14:solidFill>
                </w14:textFill>
              </w:rPr>
            </m:ctrlPr>
          </m:naryPr>
          <m:sub>
            <m:r>
              <m:rPr/>
              <w:rPr>
                <w:rFonts w:ascii="Cambria Math" w:hAnsi="Cambria Math"/>
                <w:color w:val="0D0D0D" w:themeColor="text1" w:themeTint="F2"/>
                <w:sz w:val="21"/>
                <w:szCs w:val="21"/>
                <w14:textFill>
                  <w14:solidFill>
                    <w14:schemeClr w14:val="tx1">
                      <w14:lumMod w14:val="95000"/>
                      <w14:lumOff w14:val="5000"/>
                    </w14:schemeClr>
                  </w14:solidFill>
                </w14:textFill>
              </w:rPr>
              <m:t>i=1</m:t>
            </m:r>
            <m:ctrlPr>
              <w:rPr>
                <w:rFonts w:ascii="Cambria Math" w:hAnsi="Cambria Math"/>
                <w:i/>
                <w:color w:val="0D0D0D" w:themeColor="text1" w:themeTint="F2"/>
                <w:sz w:val="21"/>
                <w:szCs w:val="21"/>
                <w14:textFill>
                  <w14:solidFill>
                    <w14:schemeClr w14:val="tx1">
                      <w14:lumMod w14:val="95000"/>
                      <w14:lumOff w14:val="5000"/>
                    </w14:schemeClr>
                  </w14:solidFill>
                </w14:textFill>
              </w:rPr>
            </m:ctrlPr>
          </m:sub>
          <m:sup>
            <m:r>
              <m:rPr/>
              <w:rPr>
                <w:rFonts w:ascii="Cambria Math" w:hAnsi="Cambria Math"/>
                <w:color w:val="0D0D0D" w:themeColor="text1" w:themeTint="F2"/>
                <w:sz w:val="21"/>
                <w:szCs w:val="21"/>
                <w14:textFill>
                  <w14:solidFill>
                    <w14:schemeClr w14:val="tx1">
                      <w14:lumMod w14:val="95000"/>
                      <w14:lumOff w14:val="5000"/>
                    </w14:schemeClr>
                  </w14:solidFill>
                </w14:textFill>
              </w:rPr>
              <m:t>C</m:t>
            </m:r>
            <m:ctrlPr>
              <w:rPr>
                <w:rFonts w:ascii="Cambria Math" w:hAnsi="Cambria Math"/>
                <w:i/>
                <w:color w:val="0D0D0D" w:themeColor="text1" w:themeTint="F2"/>
                <w:sz w:val="21"/>
                <w:szCs w:val="21"/>
                <w14:textFill>
                  <w14:solidFill>
                    <w14:schemeClr w14:val="tx1">
                      <w14:lumMod w14:val="95000"/>
                      <w14:lumOff w14:val="5000"/>
                    </w14:schemeClr>
                  </w14:solidFill>
                </w14:textFill>
              </w:rPr>
            </m:ctrlPr>
          </m:sup>
          <m:e>
            <m:r>
              <m:rPr/>
              <w:rPr>
                <w:rFonts w:ascii="Cambria Math" w:hAnsi="Cambria Math"/>
                <w:color w:val="0D0D0D" w:themeColor="text1" w:themeTint="F2"/>
                <w:sz w:val="21"/>
                <w:szCs w:val="21"/>
                <w14:textFill>
                  <w14:solidFill>
                    <w14:schemeClr w14:val="tx1">
                      <w14:lumMod w14:val="95000"/>
                      <w14:lumOff w14:val="5000"/>
                    </w14:schemeClr>
                  </w14:solidFill>
                </w14:textFill>
              </w:rPr>
              <m:t>log</m:t>
            </m:r>
            <m:sSub>
              <m:sSubPr>
                <m:ctrlPr>
                  <w:rPr>
                    <w:rFonts w:ascii="Cambria Math" w:hAnsi="Cambria Math"/>
                    <w:i/>
                    <w:iCs/>
                    <w:color w:val="0D0D0D" w:themeColor="text1" w:themeTint="F2"/>
                    <w:sz w:val="21"/>
                    <w:szCs w:val="21"/>
                    <w14:textFill>
                      <w14:solidFill>
                        <w14:schemeClr w14:val="tx1">
                          <w14:lumMod w14:val="95000"/>
                          <w14:lumOff w14:val="5000"/>
                        </w14:schemeClr>
                      </w14:solidFill>
                    </w14:textFill>
                  </w:rPr>
                </m:ctrlPr>
              </m:sSubPr>
              <m:e>
                <m:r>
                  <m:rPr/>
                  <w:rPr>
                    <w:rFonts w:ascii="Cambria Math" w:hAnsi="Cambria Math"/>
                    <w:color w:val="0D0D0D" w:themeColor="text1" w:themeTint="F2"/>
                    <w:sz w:val="21"/>
                    <w:szCs w:val="21"/>
                    <w14:textFill>
                      <w14:solidFill>
                        <w14:schemeClr w14:val="tx1">
                          <w14:lumMod w14:val="95000"/>
                          <w14:lumOff w14:val="5000"/>
                        </w14:schemeClr>
                      </w14:solidFill>
                    </w14:textFill>
                  </w:rPr>
                  <m:t xml:space="preserve"> p</m:t>
                </m:r>
                <m:ctrlPr>
                  <w:rPr>
                    <w:rFonts w:ascii="Cambria Math" w:hAnsi="Cambria Math"/>
                    <w:i/>
                    <w:iCs/>
                    <w:color w:val="0D0D0D" w:themeColor="text1" w:themeTint="F2"/>
                    <w:sz w:val="21"/>
                    <w:szCs w:val="21"/>
                    <w14:textFill>
                      <w14:solidFill>
                        <w14:schemeClr w14:val="tx1">
                          <w14:lumMod w14:val="95000"/>
                          <w14:lumOff w14:val="5000"/>
                        </w14:schemeClr>
                      </w14:solidFill>
                    </w14:textFill>
                  </w:rPr>
                </m:ctrlPr>
              </m:e>
              <m:sub>
                <m:r>
                  <m:rPr/>
                  <w:rPr>
                    <w:rFonts w:ascii="Cambria Math" w:hAnsi="Cambria Math"/>
                    <w:color w:val="0D0D0D" w:themeColor="text1" w:themeTint="F2"/>
                    <w:sz w:val="21"/>
                    <w:szCs w:val="21"/>
                    <w14:textFill>
                      <w14:solidFill>
                        <w14:schemeClr w14:val="tx1">
                          <w14:lumMod w14:val="95000"/>
                          <w14:lumOff w14:val="5000"/>
                        </w14:schemeClr>
                      </w14:solidFill>
                    </w14:textFill>
                  </w:rPr>
                  <m:t>i</m:t>
                </m:r>
                <m:ctrlPr>
                  <w:rPr>
                    <w:rFonts w:ascii="Cambria Math" w:hAnsi="Cambria Math"/>
                    <w:i/>
                    <w:iCs/>
                    <w:color w:val="0D0D0D" w:themeColor="text1" w:themeTint="F2"/>
                    <w:sz w:val="21"/>
                    <w:szCs w:val="21"/>
                    <w14:textFill>
                      <w14:solidFill>
                        <w14:schemeClr w14:val="tx1">
                          <w14:lumMod w14:val="95000"/>
                          <w14:lumOff w14:val="5000"/>
                        </w14:schemeClr>
                      </w14:solidFill>
                    </w14:textFill>
                  </w:rPr>
                </m:ctrlPr>
              </m:sub>
            </m:sSub>
            <m:ctrlPr>
              <w:rPr>
                <w:rFonts w:ascii="Cambria Math" w:hAnsi="Cambria Math"/>
                <w:i/>
                <w:color w:val="0D0D0D" w:themeColor="text1" w:themeTint="F2"/>
                <w:sz w:val="21"/>
                <w:szCs w:val="21"/>
                <w14:textFill>
                  <w14:solidFill>
                    <w14:schemeClr w14:val="tx1">
                      <w14:lumMod w14:val="95000"/>
                      <w14:lumOff w14:val="5000"/>
                    </w14:schemeClr>
                  </w14:solidFill>
                </w14:textFill>
              </w:rPr>
            </m:ctrlPr>
          </m:e>
        </m:nary>
        <m:r>
          <m:rPr/>
          <w:rPr>
            <w:rFonts w:ascii="Cambria Math" w:hAnsi="Cambria Math"/>
            <w:color w:val="0D0D0D" w:themeColor="text1" w:themeTint="F2"/>
            <w:sz w:val="21"/>
            <w:szCs w:val="21"/>
            <w14:textFill>
              <w14:solidFill>
                <w14:schemeClr w14:val="tx1">
                  <w14:lumMod w14:val="95000"/>
                  <w14:lumOff w14:val="5000"/>
                </w14:schemeClr>
              </w14:solidFill>
            </w14:textFill>
          </w:rPr>
          <m:t>]</m:t>
        </m:r>
      </m:oMath>
      <w:r>
        <w:rPr>
          <w:rFonts w:hint="eastAsia" w:hAnsi="Cambria Math"/>
          <w:color w:val="0D0D0D" w:themeColor="text1" w:themeTint="F2"/>
          <w:sz w:val="21"/>
          <w:szCs w:val="21"/>
          <w14:textFill>
            <w14:solidFill>
              <w14:schemeClr w14:val="tx1">
                <w14:lumMod w14:val="95000"/>
                <w14:lumOff w14:val="5000"/>
              </w14:schemeClr>
            </w14:solidFill>
          </w14:textFill>
        </w:rPr>
        <w:tab/>
      </w:r>
      <w:r>
        <w:rPr>
          <w:rFonts w:hint="eastAsia" w:hAnsi="Cambria Math"/>
          <w:color w:val="0D0D0D" w:themeColor="text1" w:themeTint="F2"/>
          <w:sz w:val="21"/>
          <w:szCs w:val="21"/>
          <w14:textFill>
            <w14:solidFill>
              <w14:schemeClr w14:val="tx1">
                <w14:lumMod w14:val="95000"/>
                <w14:lumOff w14:val="5000"/>
              </w14:schemeClr>
            </w14:solidFill>
          </w14:textFill>
        </w:rPr>
        <w:tab/>
      </w:r>
      <w:r>
        <w:rPr>
          <w:rFonts w:hint="eastAsia" w:hAnsi="Cambria Math"/>
          <w:color w:val="0D0D0D" w:themeColor="text1" w:themeTint="F2"/>
          <w:sz w:val="21"/>
          <w:szCs w:val="21"/>
          <w14:textFill>
            <w14:solidFill>
              <w14:schemeClr w14:val="tx1">
                <w14:lumMod w14:val="95000"/>
                <w14:lumOff w14:val="5000"/>
              </w14:schemeClr>
            </w14:solidFill>
          </w14:textFill>
        </w:rPr>
        <w:tab/>
      </w:r>
      <w:r>
        <w:rPr>
          <w:rFonts w:hint="eastAsia" w:hAnsi="Cambria Math"/>
          <w:color w:val="0D0D0D" w:themeColor="text1" w:themeTint="F2"/>
          <w:sz w:val="21"/>
          <w:szCs w:val="21"/>
          <w14:textFill>
            <w14:solidFill>
              <w14:schemeClr w14:val="tx1">
                <w14:lumMod w14:val="95000"/>
                <w14:lumOff w14:val="5000"/>
              </w14:schemeClr>
            </w14:solidFill>
          </w14:textFill>
        </w:rPr>
        <w:tab/>
      </w:r>
      <w:r>
        <w:rPr>
          <w:rFonts w:hint="eastAsia" w:hAnsi="Cambria Math"/>
          <w:color w:val="0D0D0D" w:themeColor="text1" w:themeTint="F2"/>
          <w:sz w:val="21"/>
          <w:szCs w:val="21"/>
          <w:lang w:val="en-US" w:eastAsia="zh-CN"/>
          <w14:textFill>
            <w14:solidFill>
              <w14:schemeClr w14:val="tx1">
                <w14:lumMod w14:val="95000"/>
                <w14:lumOff w14:val="5000"/>
              </w14:schemeClr>
            </w14:solidFill>
          </w14:textFill>
        </w:rPr>
        <w:tab/>
      </w:r>
      <w:r>
        <w:rPr>
          <w:rFonts w:hint="eastAsia" w:hAnsi="Cambria Math"/>
          <w:color w:val="0D0D0D" w:themeColor="text1" w:themeTint="F2"/>
          <w:sz w:val="21"/>
          <w:szCs w:val="21"/>
          <w14:textFill>
            <w14:solidFill>
              <w14:schemeClr w14:val="tx1">
                <w14:lumMod w14:val="95000"/>
                <w14:lumOff w14:val="5000"/>
              </w14:schemeClr>
            </w14:solidFill>
          </w14:textFill>
        </w:rPr>
        <w:t xml:space="preserve"> </w:t>
      </w:r>
    </w:p>
    <w:p w14:paraId="0338046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式中：</w:t>
      </w:r>
      <m:oMath>
        <m:r>
          <m:rPr/>
          <w:rPr>
            <w:rFonts w:ascii="Cambria Math" w:hAnsi="Cambria Math"/>
            <w:color w:val="000000" w:themeColor="text1"/>
            <w:sz w:val="21"/>
            <w:szCs w:val="21"/>
            <w14:textFill>
              <w14:solidFill>
                <w14:schemeClr w14:val="tx1"/>
              </w14:solidFill>
            </w14:textFill>
          </w:rPr>
          <m:t>α</m:t>
        </m:r>
      </m:oMath>
      <w:r>
        <w:rPr>
          <w:rFonts w:hint="eastAsia"/>
          <w:color w:val="000000" w:themeColor="text1"/>
          <w:sz w:val="24"/>
          <w:szCs w:val="24"/>
          <w14:textFill>
            <w14:solidFill>
              <w14:schemeClr w14:val="tx1"/>
            </w14:solidFill>
          </w14:textFill>
        </w:rPr>
        <w:t>代表标签平滑系数，</w:t>
      </w:r>
      <m:oMath>
        <m:sSub>
          <m:sSubPr>
            <m:ctrlPr>
              <w:rPr>
                <w:rFonts w:hint="eastAsia" w:ascii="Cambria Math" w:hAnsi="Cambria Math"/>
                <w:i/>
                <w:iCs/>
                <w:color w:val="000000" w:themeColor="text1"/>
                <w:sz w:val="24"/>
                <w:szCs w:val="24"/>
                <w14:textFill>
                  <w14:solidFill>
                    <w14:schemeClr w14:val="tx1"/>
                  </w14:solidFill>
                </w14:textFill>
              </w:rPr>
            </m:ctrlPr>
          </m:sSubPr>
          <m:e>
            <m:r>
              <m:rPr/>
              <w:rPr>
                <w:rFonts w:hint="eastAsia" w:ascii="Times New Roman" w:hAnsi="Times New Roman"/>
                <w:color w:val="000000" w:themeColor="text1"/>
                <w:sz w:val="24"/>
                <w:szCs w:val="24"/>
                <w14:textFill>
                  <w14:solidFill>
                    <w14:schemeClr w14:val="tx1"/>
                  </w14:solidFill>
                </w14:textFill>
              </w:rPr>
              <m:t xml:space="preserve"> p</m:t>
            </m:r>
            <m:ctrlPr>
              <w:rPr>
                <w:rFonts w:hint="eastAsia" w:ascii="Cambria Math" w:hAnsi="Cambria Math"/>
                <w:i/>
                <w:iCs/>
                <w:color w:val="000000" w:themeColor="text1"/>
                <w:sz w:val="24"/>
                <w:szCs w:val="24"/>
                <w14:textFill>
                  <w14:solidFill>
                    <w14:schemeClr w14:val="tx1"/>
                  </w14:solidFill>
                </w14:textFill>
              </w:rPr>
            </m:ctrlPr>
          </m:e>
          <m:sub>
            <m:r>
              <m:rPr/>
              <w:rPr>
                <w:rFonts w:hint="eastAsia" w:ascii="Times New Roman" w:hAnsi="Times New Roman"/>
                <w:color w:val="000000" w:themeColor="text1"/>
                <w:sz w:val="24"/>
                <w:szCs w:val="24"/>
                <w14:textFill>
                  <w14:solidFill>
                    <w14:schemeClr w14:val="tx1"/>
                  </w14:solidFill>
                </w14:textFill>
              </w:rPr>
              <m:t>t</m:t>
            </m:r>
            <m:ctrlPr>
              <w:rPr>
                <w:rFonts w:hint="eastAsia" w:ascii="Cambria Math" w:hAnsi="Cambria Math"/>
                <w:i/>
                <w:iCs/>
                <w:color w:val="000000" w:themeColor="text1"/>
                <w:sz w:val="24"/>
                <w:szCs w:val="24"/>
                <w14:textFill>
                  <w14:solidFill>
                    <w14:schemeClr w14:val="tx1"/>
                  </w14:solidFill>
                </w14:textFill>
              </w:rPr>
            </m:ctrlPr>
          </m:sub>
        </m:sSub>
      </m:oMath>
      <w:r>
        <w:rPr>
          <w:rFonts w:hint="eastAsia"/>
          <w:color w:val="000000" w:themeColor="text1"/>
          <w:sz w:val="24"/>
          <w:szCs w:val="24"/>
          <w14:textFill>
            <w14:solidFill>
              <w14:schemeClr w14:val="tx1"/>
            </w14:solidFill>
          </w14:textFill>
        </w:rPr>
        <w:t>代表模型对真实类别的预测概率，</w:t>
      </w:r>
      <w:r>
        <w:rPr>
          <w:rFonts w:hint="eastAsia"/>
          <w:i/>
          <w:iCs/>
          <w:color w:val="000000" w:themeColor="text1"/>
          <w:sz w:val="24"/>
          <w:szCs w:val="24"/>
          <w14:textFill>
            <w14:solidFill>
              <w14:schemeClr w14:val="tx1"/>
            </w14:solidFill>
          </w14:textFill>
        </w:rPr>
        <w:t>C</w:t>
      </w:r>
      <w:r>
        <w:rPr>
          <w:rFonts w:hint="eastAsia"/>
          <w:color w:val="000000" w:themeColor="text1"/>
          <w:sz w:val="24"/>
          <w:szCs w:val="24"/>
          <w14:textFill>
            <w14:solidFill>
              <w14:schemeClr w14:val="tx1"/>
            </w14:solidFill>
          </w14:textFill>
        </w:rPr>
        <w:t>代表总类别数。通过引入标签平滑交叉熵损失函数</w:t>
      </w:r>
      <w:r>
        <w:rPr>
          <w:rFonts w:hint="eastAsia"/>
          <w:color w:val="000000" w:themeColor="text1"/>
          <w:sz w:val="24"/>
          <w:szCs w:val="24"/>
          <w:lang w:val="en-US" w:eastAsia="zh-CN"/>
          <w14:textFill>
            <w14:solidFill>
              <w14:schemeClr w14:val="tx1"/>
            </w14:solidFill>
          </w14:textFill>
        </w:rPr>
        <w:t>，</w:t>
      </w:r>
      <w:r>
        <w:rPr>
          <w:rFonts w:hint="eastAsia"/>
          <w:color w:val="000000" w:themeColor="text1"/>
          <w:sz w:val="24"/>
          <w:szCs w:val="24"/>
          <w14:textFill>
            <w14:solidFill>
              <w14:schemeClr w14:val="tx1"/>
            </w14:solidFill>
          </w14:textFill>
        </w:rPr>
        <w:t>有效</w:t>
      </w:r>
      <w:r>
        <w:rPr>
          <w:rFonts w:hint="eastAsia"/>
          <w:color w:val="000000" w:themeColor="text1"/>
          <w:sz w:val="24"/>
          <w:szCs w:val="24"/>
          <w:lang w:val="en-US" w:eastAsia="zh-CN"/>
          <w14:textFill>
            <w14:solidFill>
              <w14:schemeClr w14:val="tx1"/>
            </w14:solidFill>
          </w14:textFill>
        </w:rPr>
        <w:t>减少</w:t>
      </w:r>
      <w:r>
        <w:rPr>
          <w:rFonts w:hint="eastAsia"/>
          <w:color w:val="000000" w:themeColor="text1"/>
          <w:sz w:val="24"/>
          <w:szCs w:val="24"/>
          <w14:textFill>
            <w14:solidFill>
              <w14:schemeClr w14:val="tx1"/>
            </w14:solidFill>
          </w14:textFill>
        </w:rPr>
        <w:t>模型对噪声</w:t>
      </w:r>
      <w:r>
        <w:rPr>
          <w:rFonts w:hint="eastAsia"/>
          <w:color w:val="000000" w:themeColor="text1"/>
          <w:sz w:val="24"/>
          <w:szCs w:val="24"/>
          <w:lang w:val="en-US" w:eastAsia="zh-CN"/>
          <w14:textFill>
            <w14:solidFill>
              <w14:schemeClr w14:val="tx1"/>
            </w14:solidFill>
          </w14:textFill>
        </w:rPr>
        <w:t>背景和</w:t>
      </w:r>
      <w:r>
        <w:rPr>
          <w:rFonts w:hint="eastAsia"/>
          <w:color w:val="000000" w:themeColor="text1"/>
          <w:sz w:val="24"/>
          <w:szCs w:val="24"/>
          <w14:textFill>
            <w14:solidFill>
              <w14:schemeClr w14:val="tx1"/>
            </w14:solidFill>
          </w14:textFill>
        </w:rPr>
        <w:t>标签</w:t>
      </w:r>
      <w:r>
        <w:rPr>
          <w:rFonts w:hint="eastAsia"/>
          <w:color w:val="000000" w:themeColor="text1"/>
          <w:sz w:val="24"/>
          <w:szCs w:val="24"/>
          <w:lang w:val="en-US" w:eastAsia="zh-CN"/>
          <w14:textFill>
            <w14:solidFill>
              <w14:schemeClr w14:val="tx1"/>
            </w14:solidFill>
          </w14:textFill>
        </w:rPr>
        <w:t>等</w:t>
      </w:r>
      <w:r>
        <w:rPr>
          <w:rFonts w:hint="eastAsia"/>
          <w:color w:val="000000" w:themeColor="text1"/>
          <w:sz w:val="24"/>
          <w:szCs w:val="24"/>
          <w14:textFill>
            <w14:solidFill>
              <w14:schemeClr w14:val="tx1"/>
            </w14:solidFill>
          </w14:textFill>
        </w:rPr>
        <w:t>产生过度自信的预测，显著提升了模型对相似性高的几何纹样</w:t>
      </w:r>
      <w:r>
        <w:rPr>
          <w:rFonts w:hint="eastAsia"/>
          <w:color w:val="000000" w:themeColor="text1"/>
          <w:sz w:val="24"/>
          <w:szCs w:val="24"/>
          <w:lang w:eastAsia="zh-CN"/>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以及高度</w:t>
      </w:r>
      <w:r>
        <w:rPr>
          <w:rFonts w:hint="eastAsia"/>
          <w:color w:val="000000" w:themeColor="text1"/>
          <w:sz w:val="24"/>
          <w:szCs w:val="24"/>
          <w14:textFill>
            <w14:solidFill>
              <w14:schemeClr w14:val="tx1"/>
            </w14:solidFill>
          </w14:textFill>
        </w:rPr>
        <w:t>抽象</w:t>
      </w:r>
      <w:r>
        <w:rPr>
          <w:rFonts w:hint="eastAsia"/>
          <w:color w:val="000000" w:themeColor="text1"/>
          <w:sz w:val="24"/>
          <w:szCs w:val="24"/>
          <w:lang w:val="en-US" w:eastAsia="zh-CN"/>
          <w14:textFill>
            <w14:solidFill>
              <w14:schemeClr w14:val="tx1"/>
            </w14:solidFill>
          </w14:textFill>
        </w:rPr>
        <w:t>化的</w:t>
      </w:r>
      <w:r>
        <w:rPr>
          <w:rFonts w:hint="eastAsia"/>
          <w:color w:val="000000" w:themeColor="text1"/>
          <w:sz w:val="24"/>
          <w:szCs w:val="24"/>
          <w14:textFill>
            <w14:solidFill>
              <w14:schemeClr w14:val="tx1"/>
            </w14:solidFill>
          </w14:textFill>
        </w:rPr>
        <w:t>动物纹样</w:t>
      </w:r>
      <w:r>
        <w:rPr>
          <w:rFonts w:hint="eastAsia"/>
          <w:color w:val="000000" w:themeColor="text1"/>
          <w:sz w:val="24"/>
          <w:szCs w:val="24"/>
          <w:lang w:val="en-US" w:eastAsia="zh-CN"/>
          <w14:textFill>
            <w14:solidFill>
              <w14:schemeClr w14:val="tx1"/>
            </w14:solidFill>
          </w14:textFill>
        </w:rPr>
        <w:t>间的</w:t>
      </w:r>
      <w:r>
        <w:rPr>
          <w:rFonts w:hint="eastAsia"/>
          <w:color w:val="000000" w:themeColor="text1"/>
          <w:sz w:val="24"/>
          <w:szCs w:val="24"/>
          <w14:textFill>
            <w14:solidFill>
              <w14:schemeClr w14:val="tx1"/>
            </w14:solidFill>
          </w14:textFill>
        </w:rPr>
        <w:t>区分能力，增强了模型的泛化性能，使分类决策边界合理</w:t>
      </w:r>
      <w:r>
        <w:rPr>
          <w:rFonts w:hint="eastAsia"/>
          <w:color w:val="000000" w:themeColor="text1"/>
          <w:sz w:val="24"/>
          <w:szCs w:val="24"/>
          <w:lang w:eastAsia="zh-CN"/>
          <w14:textFill>
            <w14:solidFill>
              <w14:schemeClr w14:val="tx1"/>
            </w14:solidFill>
          </w14:textFill>
        </w:rPr>
        <w:t>、</w:t>
      </w:r>
      <w:r>
        <w:rPr>
          <w:rFonts w:hint="eastAsia"/>
          <w:color w:val="000000" w:themeColor="text1"/>
          <w:sz w:val="24"/>
          <w:szCs w:val="24"/>
          <w14:textFill>
            <w14:solidFill>
              <w14:schemeClr w14:val="tx1"/>
            </w14:solidFill>
          </w14:textFill>
        </w:rPr>
        <w:t>稳定。</w:t>
      </w:r>
    </w:p>
    <w:p w14:paraId="5D0B875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技术架构图：</w:t>
      </w:r>
    </w:p>
    <w:p w14:paraId="3A982C0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rPr>
      </w:pPr>
      <w:r>
        <w:drawing>
          <wp:inline distT="0" distB="0" distL="114300" distR="114300">
            <wp:extent cx="3130550" cy="3320415"/>
            <wp:effectExtent l="0" t="0" r="6350" b="6985"/>
            <wp:docPr id="8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5"/>
                    <pic:cNvPicPr>
                      <a:picLocks noChangeAspect="1"/>
                    </pic:cNvPicPr>
                  </pic:nvPicPr>
                  <pic:blipFill>
                    <a:blip r:embed="rId8"/>
                    <a:stretch>
                      <a:fillRect/>
                    </a:stretch>
                  </pic:blipFill>
                  <pic:spPr>
                    <a:xfrm>
                      <a:off x="0" y="0"/>
                      <a:ext cx="3130550" cy="3320415"/>
                    </a:xfrm>
                    <a:prstGeom prst="rect">
                      <a:avLst/>
                    </a:prstGeom>
                    <a:noFill/>
                    <a:ln>
                      <a:noFill/>
                    </a:ln>
                  </pic:spPr>
                </pic:pic>
              </a:graphicData>
            </a:graphic>
          </wp:inline>
        </w:drawing>
      </w:r>
    </w:p>
    <w:p w14:paraId="6ED3F55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sz w:val="21"/>
          <w:szCs w:val="21"/>
        </w:rPr>
      </w:pPr>
      <w:r>
        <w:rPr>
          <w:rFonts w:hint="eastAsia"/>
          <w:lang w:val="en-US" w:eastAsia="zh-CN"/>
        </w:rPr>
        <w:t>算法伪代码</w:t>
      </w:r>
      <w:r>
        <w:rPr>
          <w:rFonts w:hint="eastAsia"/>
          <w:sz w:val="21"/>
          <w:szCs w:val="21"/>
        </w:rPr>
        <w:t>流程</w:t>
      </w:r>
    </w:p>
    <w:tbl>
      <w:tblPr>
        <w:tblStyle w:val="11"/>
        <w:tblW w:w="8702" w:type="dxa"/>
        <w:tblInd w:w="171" w:type="dxa"/>
        <w:tblLayout w:type="fixed"/>
        <w:tblCellMar>
          <w:top w:w="0" w:type="dxa"/>
          <w:left w:w="108" w:type="dxa"/>
          <w:bottom w:w="0" w:type="dxa"/>
          <w:right w:w="108" w:type="dxa"/>
        </w:tblCellMar>
      </w:tblPr>
      <w:tblGrid>
        <w:gridCol w:w="8702"/>
      </w:tblGrid>
      <w:tr w14:paraId="5F33F338">
        <w:tblPrEx>
          <w:tblCellMar>
            <w:top w:w="0" w:type="dxa"/>
            <w:left w:w="108" w:type="dxa"/>
            <w:bottom w:w="0" w:type="dxa"/>
            <w:right w:w="108" w:type="dxa"/>
          </w:tblCellMar>
        </w:tblPrEx>
        <w:trPr>
          <w:trHeight w:val="31" w:hRule="atLeast"/>
        </w:trPr>
        <w:tc>
          <w:tcPr>
            <w:tcW w:w="8702" w:type="dxa"/>
            <w:tcBorders>
              <w:top w:val="single" w:color="auto" w:sz="8" w:space="0"/>
              <w:left w:val="nil"/>
              <w:bottom w:val="single" w:color="auto" w:sz="4" w:space="0"/>
              <w:right w:val="nil"/>
            </w:tcBorders>
          </w:tcPr>
          <w:p w14:paraId="5E11FB24">
            <w:pPr>
              <w:keepNext w:val="0"/>
              <w:keepLines w:val="0"/>
              <w:pageBreakBefore w:val="0"/>
              <w:widowControl w:val="0"/>
              <w:kinsoku/>
              <w:wordWrap/>
              <w:overflowPunct/>
              <w:topLinePunct w:val="0"/>
              <w:autoSpaceDE/>
              <w:autoSpaceDN/>
              <w:bidi w:val="0"/>
              <w:adjustRightInd/>
              <w:snapToGrid/>
              <w:spacing w:line="360" w:lineRule="auto"/>
              <w:jc w:val="both"/>
              <w:textAlignment w:val="auto"/>
              <w:rPr>
                <w:b w:val="0"/>
                <w:bCs/>
                <w:caps w:val="0"/>
                <w:kern w:val="0"/>
                <w:sz w:val="21"/>
                <w:szCs w:val="21"/>
              </w:rPr>
            </w:pPr>
            <w:r>
              <w:rPr>
                <w:rFonts w:hint="eastAsia"/>
                <w:b w:val="0"/>
                <w:bCs/>
                <w:caps w:val="0"/>
                <w:kern w:val="0"/>
                <w:sz w:val="21"/>
                <w:szCs w:val="21"/>
              </w:rPr>
              <w:t>基于迁移学习的土家织锦</w:t>
            </w:r>
            <w:r>
              <w:rPr>
                <w:rFonts w:hint="eastAsia"/>
                <w:b w:val="0"/>
                <w:bCs/>
                <w:caps w:val="0"/>
                <w:kern w:val="0"/>
                <w:sz w:val="21"/>
                <w:szCs w:val="21"/>
                <w:lang w:eastAsia="zh-CN"/>
              </w:rPr>
              <w:t>纹样</w:t>
            </w:r>
            <w:r>
              <w:rPr>
                <w:rFonts w:hint="eastAsia"/>
                <w:b w:val="0"/>
                <w:bCs/>
                <w:caps w:val="0"/>
                <w:kern w:val="0"/>
                <w:sz w:val="21"/>
                <w:szCs w:val="21"/>
              </w:rPr>
              <w:t>分类算法</w:t>
            </w:r>
          </w:p>
        </w:tc>
      </w:tr>
      <w:tr w14:paraId="5DB38EA6">
        <w:tblPrEx>
          <w:tblCellMar>
            <w:top w:w="0" w:type="dxa"/>
            <w:left w:w="108" w:type="dxa"/>
            <w:bottom w:w="0" w:type="dxa"/>
            <w:right w:w="108" w:type="dxa"/>
          </w:tblCellMar>
        </w:tblPrEx>
        <w:trPr>
          <w:trHeight w:val="692" w:hRule="atLeast"/>
        </w:trPr>
        <w:tc>
          <w:tcPr>
            <w:tcW w:w="8702" w:type="dxa"/>
            <w:tcBorders>
              <w:top w:val="single" w:color="auto" w:sz="4" w:space="0"/>
              <w:left w:val="nil"/>
              <w:bottom w:val="single" w:color="auto" w:sz="8" w:space="0"/>
              <w:right w:val="nil"/>
            </w:tcBorders>
          </w:tcPr>
          <w:p w14:paraId="5F249FD1">
            <w:pPr>
              <w:keepNext w:val="0"/>
              <w:keepLines w:val="0"/>
              <w:pageBreakBefore w:val="0"/>
              <w:widowControl w:val="0"/>
              <w:kinsoku/>
              <w:wordWrap/>
              <w:overflowPunct/>
              <w:topLinePunct w:val="0"/>
              <w:autoSpaceDE/>
              <w:autoSpaceDN/>
              <w:bidi w:val="0"/>
              <w:adjustRightInd/>
              <w:snapToGrid/>
              <w:spacing w:line="360" w:lineRule="auto"/>
              <w:jc w:val="both"/>
              <w:textAlignment w:val="auto"/>
              <w:rPr>
                <w:b w:val="0"/>
                <w:bCs/>
                <w:caps w:val="0"/>
                <w:kern w:val="0"/>
                <w:sz w:val="21"/>
                <w:szCs w:val="21"/>
              </w:rPr>
            </w:pPr>
            <w:r>
              <w:rPr>
                <w:rFonts w:hint="eastAsia"/>
                <w:b w:val="0"/>
                <w:bCs/>
                <w:caps w:val="0"/>
                <w:kern w:val="0"/>
                <w:sz w:val="21"/>
                <w:szCs w:val="21"/>
              </w:rPr>
              <w:t>输入：训练样本集O = {X, L}，其中X为图像特征集合，L为类别标签集合，测试样本集D</w:t>
            </w:r>
          </w:p>
          <w:p w14:paraId="3715FCB5">
            <w:pPr>
              <w:keepNext w:val="0"/>
              <w:keepLines w:val="0"/>
              <w:pageBreakBefore w:val="0"/>
              <w:widowControl w:val="0"/>
              <w:kinsoku/>
              <w:wordWrap/>
              <w:overflowPunct/>
              <w:topLinePunct w:val="0"/>
              <w:autoSpaceDE/>
              <w:autoSpaceDN/>
              <w:bidi w:val="0"/>
              <w:adjustRightInd/>
              <w:snapToGrid/>
              <w:spacing w:line="360" w:lineRule="auto"/>
              <w:ind w:firstLine="630" w:firstLineChars="300"/>
              <w:jc w:val="both"/>
              <w:textAlignment w:val="auto"/>
              <w:rPr>
                <w:b w:val="0"/>
                <w:bCs/>
                <w:caps w:val="0"/>
                <w:kern w:val="0"/>
                <w:sz w:val="21"/>
                <w:szCs w:val="21"/>
              </w:rPr>
            </w:pPr>
            <w:r>
              <w:rPr>
                <w:rFonts w:hint="eastAsia"/>
                <w:b w:val="0"/>
                <w:bCs/>
                <w:caps w:val="0"/>
                <w:kern w:val="0"/>
                <w:sz w:val="21"/>
                <w:szCs w:val="21"/>
              </w:rPr>
              <w:t>迭代次数T，批次大小b，学习率r</w:t>
            </w:r>
          </w:p>
          <w:p w14:paraId="239D05B5">
            <w:pPr>
              <w:keepNext w:val="0"/>
              <w:keepLines w:val="0"/>
              <w:pageBreakBefore w:val="0"/>
              <w:widowControl w:val="0"/>
              <w:kinsoku/>
              <w:wordWrap/>
              <w:overflowPunct/>
              <w:topLinePunct w:val="0"/>
              <w:autoSpaceDE/>
              <w:autoSpaceDN/>
              <w:bidi w:val="0"/>
              <w:adjustRightInd/>
              <w:snapToGrid/>
              <w:spacing w:line="360" w:lineRule="auto"/>
              <w:jc w:val="both"/>
              <w:textAlignment w:val="auto"/>
              <w:rPr>
                <w:b w:val="0"/>
                <w:bCs/>
                <w:caps w:val="0"/>
                <w:kern w:val="0"/>
                <w:sz w:val="21"/>
                <w:szCs w:val="21"/>
              </w:rPr>
            </w:pPr>
            <w:r>
              <w:rPr>
                <w:rFonts w:hint="eastAsia"/>
                <w:b w:val="0"/>
                <w:bCs/>
                <w:caps w:val="0"/>
                <w:kern w:val="0"/>
                <w:sz w:val="21"/>
                <w:szCs w:val="21"/>
              </w:rPr>
              <w:t>输出：微调后的土家织锦分类模型W</w:t>
            </w:r>
          </w:p>
          <w:p w14:paraId="599D5C11">
            <w:pPr>
              <w:keepNext w:val="0"/>
              <w:keepLines w:val="0"/>
              <w:pageBreakBefore w:val="0"/>
              <w:widowControl w:val="0"/>
              <w:kinsoku/>
              <w:wordWrap/>
              <w:overflowPunct/>
              <w:topLinePunct w:val="0"/>
              <w:autoSpaceDE/>
              <w:autoSpaceDN/>
              <w:bidi w:val="0"/>
              <w:adjustRightInd/>
              <w:snapToGrid/>
              <w:spacing w:line="360" w:lineRule="auto"/>
              <w:jc w:val="both"/>
              <w:textAlignment w:val="auto"/>
              <w:rPr>
                <w:b w:val="0"/>
                <w:bCs/>
                <w:caps w:val="0"/>
                <w:kern w:val="0"/>
                <w:sz w:val="21"/>
                <w:szCs w:val="21"/>
              </w:rPr>
            </w:pPr>
            <w:r>
              <w:rPr>
                <w:rFonts w:hint="eastAsia"/>
                <w:b w:val="0"/>
                <w:bCs/>
                <w:caps w:val="0"/>
                <w:kern w:val="0"/>
                <w:sz w:val="21"/>
                <w:szCs w:val="21"/>
              </w:rPr>
              <w:t>Step1：加载预训练W模型，替换分类头为K类输出，冻结骨干网络前N层参数</w:t>
            </w:r>
          </w:p>
          <w:p w14:paraId="737EA2C5">
            <w:pPr>
              <w:keepNext w:val="0"/>
              <w:keepLines w:val="0"/>
              <w:pageBreakBefore w:val="0"/>
              <w:widowControl w:val="0"/>
              <w:kinsoku/>
              <w:wordWrap/>
              <w:overflowPunct/>
              <w:topLinePunct w:val="0"/>
              <w:autoSpaceDE/>
              <w:autoSpaceDN/>
              <w:bidi w:val="0"/>
              <w:adjustRightInd/>
              <w:snapToGrid/>
              <w:spacing w:line="360" w:lineRule="auto"/>
              <w:jc w:val="both"/>
              <w:textAlignment w:val="auto"/>
              <w:rPr>
                <w:b w:val="0"/>
                <w:bCs/>
                <w:caps w:val="0"/>
                <w:kern w:val="0"/>
                <w:sz w:val="21"/>
                <w:szCs w:val="21"/>
              </w:rPr>
            </w:pPr>
            <w:r>
              <w:rPr>
                <w:rFonts w:hint="eastAsia"/>
                <w:b w:val="0"/>
                <w:bCs/>
                <w:caps w:val="0"/>
                <w:kern w:val="0"/>
                <w:sz w:val="21"/>
                <w:szCs w:val="21"/>
              </w:rPr>
              <w:t>Step2：初始化优化器、学习率调度器、损失函数</w:t>
            </w:r>
          </w:p>
          <w:p w14:paraId="1398C5ED">
            <w:pPr>
              <w:keepNext w:val="0"/>
              <w:keepLines w:val="0"/>
              <w:pageBreakBefore w:val="0"/>
              <w:widowControl w:val="0"/>
              <w:kinsoku/>
              <w:wordWrap/>
              <w:overflowPunct/>
              <w:topLinePunct w:val="0"/>
              <w:autoSpaceDE/>
              <w:autoSpaceDN/>
              <w:bidi w:val="0"/>
              <w:adjustRightInd/>
              <w:snapToGrid/>
              <w:spacing w:line="360" w:lineRule="auto"/>
              <w:jc w:val="both"/>
              <w:textAlignment w:val="auto"/>
              <w:rPr>
                <w:b w:val="0"/>
                <w:bCs/>
                <w:caps w:val="0"/>
                <w:kern w:val="0"/>
                <w:sz w:val="21"/>
                <w:szCs w:val="21"/>
              </w:rPr>
            </w:pPr>
            <w:r>
              <w:rPr>
                <w:rFonts w:hint="eastAsia"/>
                <w:b w:val="0"/>
                <w:bCs/>
                <w:caps w:val="0"/>
                <w:kern w:val="0"/>
                <w:sz w:val="21"/>
                <w:szCs w:val="21"/>
              </w:rPr>
              <w:t>Step3：for epoch = 1 to T do</w:t>
            </w:r>
          </w:p>
          <w:p w14:paraId="68EB938E">
            <w:pPr>
              <w:keepNext w:val="0"/>
              <w:keepLines w:val="0"/>
              <w:pageBreakBefore w:val="0"/>
              <w:widowControl w:val="0"/>
              <w:kinsoku/>
              <w:wordWrap/>
              <w:overflowPunct/>
              <w:topLinePunct w:val="0"/>
              <w:autoSpaceDE/>
              <w:autoSpaceDN/>
              <w:bidi w:val="0"/>
              <w:adjustRightInd/>
              <w:snapToGrid/>
              <w:spacing w:line="360" w:lineRule="auto"/>
              <w:jc w:val="both"/>
              <w:textAlignment w:val="auto"/>
              <w:rPr>
                <w:b w:val="0"/>
                <w:bCs/>
                <w:caps w:val="0"/>
                <w:kern w:val="0"/>
                <w:sz w:val="21"/>
                <w:szCs w:val="21"/>
              </w:rPr>
            </w:pPr>
            <w:r>
              <w:rPr>
                <w:rFonts w:hint="eastAsia"/>
                <w:b w:val="0"/>
                <w:bCs/>
                <w:caps w:val="0"/>
                <w:kern w:val="0"/>
                <w:sz w:val="21"/>
                <w:szCs w:val="21"/>
              </w:rPr>
              <w:t>Step4：  for each batch in O do</w:t>
            </w:r>
          </w:p>
          <w:p w14:paraId="70002D21">
            <w:pPr>
              <w:keepNext w:val="0"/>
              <w:keepLines w:val="0"/>
              <w:pageBreakBefore w:val="0"/>
              <w:widowControl w:val="0"/>
              <w:kinsoku/>
              <w:wordWrap/>
              <w:overflowPunct/>
              <w:topLinePunct w:val="0"/>
              <w:autoSpaceDE/>
              <w:autoSpaceDN/>
              <w:bidi w:val="0"/>
              <w:adjustRightInd/>
              <w:snapToGrid/>
              <w:spacing w:line="360" w:lineRule="auto"/>
              <w:jc w:val="both"/>
              <w:textAlignment w:val="auto"/>
              <w:rPr>
                <w:b w:val="0"/>
                <w:bCs/>
                <w:caps w:val="0"/>
                <w:kern w:val="0"/>
                <w:sz w:val="21"/>
                <w:szCs w:val="21"/>
              </w:rPr>
            </w:pPr>
            <w:r>
              <w:rPr>
                <w:rFonts w:hint="eastAsia"/>
                <w:b w:val="0"/>
                <w:bCs/>
                <w:caps w:val="0"/>
                <w:kern w:val="0"/>
                <w:sz w:val="21"/>
                <w:szCs w:val="21"/>
              </w:rPr>
              <w:t>Step5：    数据加载与增强：从O中选取b个样本，在线数据增强后得到O_b={X_b,L_b}，</w:t>
            </w:r>
          </w:p>
          <w:p w14:paraId="0D12ACF4">
            <w:pPr>
              <w:keepNext w:val="0"/>
              <w:keepLines w:val="0"/>
              <w:pageBreakBefore w:val="0"/>
              <w:widowControl w:val="0"/>
              <w:kinsoku/>
              <w:wordWrap/>
              <w:overflowPunct/>
              <w:topLinePunct w:val="0"/>
              <w:autoSpaceDE/>
              <w:autoSpaceDN/>
              <w:bidi w:val="0"/>
              <w:adjustRightInd/>
              <w:snapToGrid/>
              <w:spacing w:line="360" w:lineRule="auto"/>
              <w:jc w:val="both"/>
              <w:textAlignment w:val="auto"/>
              <w:rPr>
                <w:b w:val="0"/>
                <w:bCs/>
                <w:caps w:val="0"/>
                <w:kern w:val="0"/>
                <w:sz w:val="21"/>
                <w:szCs w:val="21"/>
              </w:rPr>
            </w:pPr>
            <w:r>
              <w:rPr>
                <w:rFonts w:hint="eastAsia"/>
                <w:b w:val="0"/>
                <w:bCs/>
                <w:caps w:val="0"/>
                <w:kern w:val="0"/>
                <w:sz w:val="21"/>
                <w:szCs w:val="21"/>
              </w:rPr>
              <w:t>Step6：    前向传播：将L_b送入模型输出预测概率Y</w:t>
            </w:r>
          </w:p>
          <w:p w14:paraId="6ADF44AE">
            <w:pPr>
              <w:keepNext w:val="0"/>
              <w:keepLines w:val="0"/>
              <w:pageBreakBefore w:val="0"/>
              <w:widowControl w:val="0"/>
              <w:kinsoku/>
              <w:wordWrap/>
              <w:overflowPunct/>
              <w:topLinePunct w:val="0"/>
              <w:autoSpaceDE/>
              <w:autoSpaceDN/>
              <w:bidi w:val="0"/>
              <w:adjustRightInd/>
              <w:snapToGrid/>
              <w:spacing w:line="360" w:lineRule="auto"/>
              <w:jc w:val="both"/>
              <w:textAlignment w:val="auto"/>
              <w:rPr>
                <w:b w:val="0"/>
                <w:bCs/>
                <w:caps w:val="0"/>
                <w:kern w:val="0"/>
                <w:sz w:val="21"/>
                <w:szCs w:val="21"/>
              </w:rPr>
            </w:pPr>
            <w:r>
              <w:rPr>
                <w:rFonts w:hint="eastAsia"/>
                <w:b w:val="0"/>
                <w:bCs/>
                <w:caps w:val="0"/>
                <w:kern w:val="0"/>
                <w:sz w:val="21"/>
                <w:szCs w:val="21"/>
              </w:rPr>
              <w:t>Step7：    计算损失：使用公式</w:t>
            </w:r>
            <w:r>
              <w:rPr>
                <w:rFonts w:hint="eastAsia"/>
                <w:b w:val="0"/>
                <w:bCs/>
                <w:caps w:val="0"/>
                <w:kern w:val="0"/>
                <w:sz w:val="21"/>
                <w:szCs w:val="21"/>
                <w:lang w:val="en-US" w:eastAsia="zh-CN"/>
              </w:rPr>
              <w:t>(</w:t>
            </w:r>
            <w:r>
              <w:rPr>
                <w:rFonts w:hint="eastAsia"/>
                <w:b w:val="0"/>
                <w:bCs/>
                <w:caps w:val="0"/>
                <w:kern w:val="0"/>
                <w:sz w:val="21"/>
                <w:szCs w:val="21"/>
              </w:rPr>
              <w:t>4-3</w:t>
            </w:r>
            <w:r>
              <w:rPr>
                <w:rFonts w:hint="eastAsia"/>
                <w:b w:val="0"/>
                <w:bCs/>
                <w:caps w:val="0"/>
                <w:kern w:val="0"/>
                <w:sz w:val="21"/>
                <w:szCs w:val="21"/>
                <w:lang w:val="en-US" w:eastAsia="zh-CN"/>
              </w:rPr>
              <w:t>)</w:t>
            </w:r>
            <w:r>
              <w:rPr>
                <w:rFonts w:hint="eastAsia"/>
                <w:b w:val="0"/>
                <w:bCs/>
                <w:caps w:val="0"/>
                <w:kern w:val="0"/>
                <w:sz w:val="21"/>
                <w:szCs w:val="21"/>
              </w:rPr>
              <w:t>计算损失值J</w:t>
            </w:r>
          </w:p>
          <w:p w14:paraId="79EE4FD8">
            <w:pPr>
              <w:keepNext w:val="0"/>
              <w:keepLines w:val="0"/>
              <w:pageBreakBefore w:val="0"/>
              <w:widowControl w:val="0"/>
              <w:kinsoku/>
              <w:wordWrap/>
              <w:overflowPunct/>
              <w:topLinePunct w:val="0"/>
              <w:autoSpaceDE/>
              <w:autoSpaceDN/>
              <w:bidi w:val="0"/>
              <w:adjustRightInd/>
              <w:snapToGrid/>
              <w:spacing w:line="360" w:lineRule="auto"/>
              <w:jc w:val="both"/>
              <w:textAlignment w:val="auto"/>
              <w:rPr>
                <w:b w:val="0"/>
                <w:bCs/>
                <w:caps w:val="0"/>
                <w:kern w:val="0"/>
                <w:sz w:val="21"/>
                <w:szCs w:val="21"/>
              </w:rPr>
            </w:pPr>
            <w:r>
              <w:rPr>
                <w:rFonts w:hint="eastAsia"/>
                <w:b w:val="0"/>
                <w:bCs/>
                <w:caps w:val="0"/>
                <w:kern w:val="0"/>
                <w:sz w:val="21"/>
                <w:szCs w:val="21"/>
              </w:rPr>
              <w:t>Step8：    反向传播：使用公式</w:t>
            </w:r>
            <w:r>
              <w:rPr>
                <w:rFonts w:hint="eastAsia"/>
                <w:b w:val="0"/>
                <w:bCs/>
                <w:caps w:val="0"/>
                <w:kern w:val="0"/>
                <w:sz w:val="21"/>
                <w:szCs w:val="21"/>
                <w:lang w:val="en-US" w:eastAsia="zh-CN"/>
              </w:rPr>
              <w:t>(</w:t>
            </w:r>
            <w:r>
              <w:rPr>
                <w:rFonts w:hint="eastAsia"/>
                <w:b w:val="0"/>
                <w:bCs/>
                <w:caps w:val="0"/>
                <w:kern w:val="0"/>
                <w:sz w:val="21"/>
                <w:szCs w:val="21"/>
              </w:rPr>
              <w:t>4-4</w:t>
            </w:r>
            <w:r>
              <w:rPr>
                <w:rFonts w:hint="eastAsia"/>
                <w:b w:val="0"/>
                <w:bCs/>
                <w:caps w:val="0"/>
                <w:kern w:val="0"/>
                <w:sz w:val="21"/>
                <w:szCs w:val="21"/>
                <w:lang w:val="en-US" w:eastAsia="zh-CN"/>
              </w:rPr>
              <w:t>)</w:t>
            </w:r>
            <w:r>
              <w:rPr>
                <w:rFonts w:hint="eastAsia"/>
                <w:b w:val="0"/>
                <w:bCs/>
                <w:caps w:val="0"/>
                <w:kern w:val="0"/>
                <w:sz w:val="21"/>
                <w:szCs w:val="21"/>
              </w:rPr>
              <w:t>更新可训练层参数W</w:t>
            </w:r>
          </w:p>
          <w:p w14:paraId="45ABEB1A">
            <w:pPr>
              <w:keepNext w:val="0"/>
              <w:keepLines w:val="0"/>
              <w:pageBreakBefore w:val="0"/>
              <w:widowControl w:val="0"/>
              <w:kinsoku/>
              <w:wordWrap/>
              <w:overflowPunct/>
              <w:topLinePunct w:val="0"/>
              <w:autoSpaceDE/>
              <w:autoSpaceDN/>
              <w:bidi w:val="0"/>
              <w:adjustRightInd/>
              <w:snapToGrid/>
              <w:spacing w:line="360" w:lineRule="auto"/>
              <w:jc w:val="both"/>
              <w:textAlignment w:val="auto"/>
              <w:rPr>
                <w:b w:val="0"/>
                <w:bCs/>
                <w:caps w:val="0"/>
                <w:kern w:val="0"/>
                <w:sz w:val="21"/>
                <w:szCs w:val="21"/>
              </w:rPr>
            </w:pPr>
            <w:r>
              <w:rPr>
                <w:rFonts w:hint="eastAsia"/>
                <w:b w:val="0"/>
                <w:bCs/>
                <w:caps w:val="0"/>
                <w:kern w:val="0"/>
                <w:sz w:val="21"/>
                <w:szCs w:val="21"/>
              </w:rPr>
              <w:t>Step9：   end for</w:t>
            </w:r>
          </w:p>
          <w:p w14:paraId="0809288F">
            <w:pPr>
              <w:keepNext w:val="0"/>
              <w:keepLines w:val="0"/>
              <w:pageBreakBefore w:val="0"/>
              <w:widowControl w:val="0"/>
              <w:kinsoku/>
              <w:wordWrap/>
              <w:overflowPunct/>
              <w:topLinePunct w:val="0"/>
              <w:autoSpaceDE/>
              <w:autoSpaceDN/>
              <w:bidi w:val="0"/>
              <w:adjustRightInd/>
              <w:snapToGrid/>
              <w:spacing w:line="360" w:lineRule="auto"/>
              <w:jc w:val="both"/>
              <w:textAlignment w:val="auto"/>
              <w:rPr>
                <w:b w:val="0"/>
                <w:bCs/>
                <w:caps w:val="0"/>
                <w:kern w:val="0"/>
                <w:sz w:val="21"/>
                <w:szCs w:val="21"/>
              </w:rPr>
            </w:pPr>
            <w:r>
              <w:rPr>
                <w:rFonts w:hint="eastAsia"/>
                <w:b w:val="0"/>
                <w:bCs/>
                <w:caps w:val="0"/>
                <w:kern w:val="0"/>
                <w:sz w:val="21"/>
                <w:szCs w:val="21"/>
              </w:rPr>
              <w:t>Step10：在D上评估模型性能</w:t>
            </w:r>
          </w:p>
          <w:p w14:paraId="51BBD23A">
            <w:pPr>
              <w:keepNext w:val="0"/>
              <w:keepLines w:val="0"/>
              <w:pageBreakBefore w:val="0"/>
              <w:widowControl w:val="0"/>
              <w:kinsoku/>
              <w:wordWrap/>
              <w:overflowPunct/>
              <w:topLinePunct w:val="0"/>
              <w:autoSpaceDE/>
              <w:autoSpaceDN/>
              <w:bidi w:val="0"/>
              <w:adjustRightInd/>
              <w:snapToGrid/>
              <w:spacing w:line="360" w:lineRule="auto"/>
              <w:jc w:val="both"/>
              <w:textAlignment w:val="auto"/>
              <w:rPr>
                <w:b w:val="0"/>
                <w:bCs/>
                <w:caps w:val="0"/>
                <w:kern w:val="0"/>
                <w:sz w:val="21"/>
                <w:szCs w:val="21"/>
              </w:rPr>
            </w:pPr>
            <w:r>
              <w:rPr>
                <w:rFonts w:hint="eastAsia"/>
                <w:b w:val="0"/>
                <w:bCs/>
                <w:caps w:val="0"/>
                <w:kern w:val="0"/>
                <w:sz w:val="21"/>
                <w:szCs w:val="21"/>
              </w:rPr>
              <w:t>Step11：更新r，保存最佳模型</w:t>
            </w:r>
          </w:p>
          <w:p w14:paraId="7D66D3F6">
            <w:pPr>
              <w:keepNext w:val="0"/>
              <w:keepLines w:val="0"/>
              <w:pageBreakBefore w:val="0"/>
              <w:widowControl w:val="0"/>
              <w:kinsoku/>
              <w:wordWrap/>
              <w:overflowPunct/>
              <w:topLinePunct w:val="0"/>
              <w:autoSpaceDE/>
              <w:autoSpaceDN/>
              <w:bidi w:val="0"/>
              <w:adjustRightInd/>
              <w:snapToGrid/>
              <w:spacing w:line="360" w:lineRule="auto"/>
              <w:jc w:val="both"/>
              <w:textAlignment w:val="auto"/>
              <w:rPr>
                <w:b w:val="0"/>
                <w:bCs/>
                <w:caps w:val="0"/>
                <w:kern w:val="0"/>
                <w:sz w:val="21"/>
                <w:szCs w:val="21"/>
              </w:rPr>
            </w:pPr>
            <w:r>
              <w:rPr>
                <w:rFonts w:hint="eastAsia"/>
                <w:b w:val="0"/>
                <w:bCs/>
                <w:caps w:val="0"/>
                <w:kern w:val="0"/>
                <w:sz w:val="21"/>
                <w:szCs w:val="21"/>
              </w:rPr>
              <w:t>Step12：end for</w:t>
            </w:r>
          </w:p>
        </w:tc>
      </w:tr>
    </w:tbl>
    <w:p w14:paraId="2D12F80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7544AA36">
      <w:pPr>
        <w:pStyle w:val="3"/>
        <w:bidi w:val="0"/>
        <w:rPr>
          <w:rFonts w:hint="eastAsia"/>
        </w:rPr>
      </w:pPr>
      <w:bookmarkStart w:id="10" w:name="_Toc18129"/>
      <w:r>
        <w:rPr>
          <w:rFonts w:hint="eastAsia"/>
          <w:lang w:val="en-US" w:eastAsia="zh-CN"/>
        </w:rPr>
        <w:t>4.3 预训练与迁移</w:t>
      </w:r>
      <w:bookmarkEnd w:id="10"/>
    </w:p>
    <w:p w14:paraId="42720F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预训练： 模型预训练采用的数据集为Animals-25公共数据集，此数据集共包含5016张动物纹样，选取其中的80%，即4012张图像作为训练集，剩余20%图像用于分类模型的测试。</w:t>
      </w:r>
    </w:p>
    <w:p w14:paraId="35C7D4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模型训练过程中，通过反复调试超参数以优化模型性能，每次输入的图像批量大小均为32，尺寸均为224×224；初始学习率设为0.001，并采用AdamW优化器，权重衰减系数为0.0001，并加入学习率调度策略，即当测试集在连续5个epoch的准确率未提升时，会减半学习率继续测试。为了防止过拟合的发生，还引入了早停机制（Early Stopping），以监控测试集的准确率，若连续15轮结果准确率均未提升，则直接终止训练。模型在预训练过程中的准确率曲线和损失曲线如图所示。取前五组数值的平均值后，改进的EfficientNeV2模型最终准确率为97.6%。</w:t>
      </w:r>
    </w:p>
    <w:p w14:paraId="25059A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drawing>
          <wp:inline distT="0" distB="0" distL="114300" distR="114300">
            <wp:extent cx="2561590" cy="2055495"/>
            <wp:effectExtent l="0" t="0" r="3810" b="1905"/>
            <wp:docPr id="7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2"/>
                    <pic:cNvPicPr>
                      <a:picLocks noChangeAspect="1"/>
                    </pic:cNvPicPr>
                  </pic:nvPicPr>
                  <pic:blipFill>
                    <a:blip r:embed="rId9"/>
                    <a:stretch>
                      <a:fillRect/>
                    </a:stretch>
                  </pic:blipFill>
                  <pic:spPr>
                    <a:xfrm>
                      <a:off x="0" y="0"/>
                      <a:ext cx="2561590" cy="2055495"/>
                    </a:xfrm>
                    <a:prstGeom prst="rect">
                      <a:avLst/>
                    </a:prstGeom>
                    <a:noFill/>
                    <a:ln>
                      <a:noFill/>
                    </a:ln>
                  </pic:spPr>
                </pic:pic>
              </a:graphicData>
            </a:graphic>
          </wp:inline>
        </w:drawing>
      </w:r>
      <w:r>
        <w:drawing>
          <wp:inline distT="0" distB="0" distL="114300" distR="114300">
            <wp:extent cx="2620645" cy="2073275"/>
            <wp:effectExtent l="0" t="0" r="8255" b="9525"/>
            <wp:docPr id="8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9"/>
                    <pic:cNvPicPr>
                      <a:picLocks noChangeAspect="1"/>
                    </pic:cNvPicPr>
                  </pic:nvPicPr>
                  <pic:blipFill>
                    <a:blip r:embed="rId10"/>
                    <a:srcRect r="-25" b="1441"/>
                    <a:stretch>
                      <a:fillRect/>
                    </a:stretch>
                  </pic:blipFill>
                  <pic:spPr>
                    <a:xfrm>
                      <a:off x="0" y="0"/>
                      <a:ext cx="2620645" cy="2073275"/>
                    </a:xfrm>
                    <a:prstGeom prst="rect">
                      <a:avLst/>
                    </a:prstGeom>
                    <a:noFill/>
                    <a:ln>
                      <a:noFill/>
                    </a:ln>
                  </pic:spPr>
                </pic:pic>
              </a:graphicData>
            </a:graphic>
          </wp:inline>
        </w:drawing>
      </w:r>
    </w:p>
    <w:p w14:paraId="4F895E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迁移微调： 加载预训练权重，冻结底层参数，修改全连接层适配20类织锦纹样，在自建数据集上进行微调。</w:t>
      </w:r>
    </w:p>
    <w:p w14:paraId="47A142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首先将改进模型预训练后，提取并加载其预训练权重参数作为初始参数，并根据土家织锦</w:t>
      </w:r>
      <w:r>
        <w:rPr>
          <w:rFonts w:hint="eastAsia"/>
          <w:lang w:eastAsia="zh-CN"/>
        </w:rPr>
        <w:t>纹样</w:t>
      </w:r>
      <w:r>
        <w:rPr>
          <w:rFonts w:hint="eastAsia"/>
        </w:rPr>
        <w:t>分类任务的需求修改全连接层；然后冻结原模型浅层网络，即1-3阶段Fused-MBConv和4、5阶段MBConv的所有卷积层、池化层、批归一化层和所有CBAM注意力模块，保留预训练模型学习到的特征，同时利用在线的图像增强技术对织锦数据集进行扩增；最后释放模型剩余的深层网络和全连接层，同时加入新的Dropout层，抑制模型的过拟合现象。EfficientNetV2网络模型的微调流程如图所示。</w:t>
      </w:r>
    </w:p>
    <w:p w14:paraId="11CCD5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drawing>
          <wp:inline distT="0" distB="0" distL="114300" distR="114300">
            <wp:extent cx="3187700" cy="2818130"/>
            <wp:effectExtent l="0" t="0" r="0" b="1270"/>
            <wp:docPr id="3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
                    <pic:cNvPicPr>
                      <a:picLocks noChangeAspect="1"/>
                    </pic:cNvPicPr>
                  </pic:nvPicPr>
                  <pic:blipFill>
                    <a:blip r:embed="rId11"/>
                    <a:stretch>
                      <a:fillRect/>
                    </a:stretch>
                  </pic:blipFill>
                  <pic:spPr>
                    <a:xfrm>
                      <a:off x="0" y="0"/>
                      <a:ext cx="3187700" cy="2818130"/>
                    </a:xfrm>
                    <a:prstGeom prst="rect">
                      <a:avLst/>
                    </a:prstGeom>
                    <a:noFill/>
                    <a:ln>
                      <a:noFill/>
                    </a:ln>
                  </pic:spPr>
                </pic:pic>
              </a:graphicData>
            </a:graphic>
          </wp:inline>
        </w:drawing>
      </w:r>
    </w:p>
    <w:p w14:paraId="581BBF4E">
      <w:pPr>
        <w:pStyle w:val="3"/>
        <w:bidi w:val="0"/>
        <w:rPr>
          <w:rFonts w:hint="eastAsia"/>
        </w:rPr>
      </w:pPr>
      <w:bookmarkStart w:id="11" w:name="_Toc27828"/>
      <w:r>
        <w:rPr>
          <w:rFonts w:hint="eastAsia"/>
          <w:lang w:val="en-US" w:eastAsia="zh-CN"/>
        </w:rPr>
        <w:t>4.4 实验</w:t>
      </w:r>
      <w:r>
        <w:rPr>
          <w:rFonts w:hint="eastAsia"/>
        </w:rPr>
        <w:t>结果验证</w:t>
      </w:r>
      <w:bookmarkEnd w:id="11"/>
    </w:p>
    <w:p w14:paraId="1A0B8433">
      <w:pPr>
        <w:pStyle w:val="4"/>
        <w:bidi w:val="0"/>
        <w:rPr>
          <w:rFonts w:hint="eastAsia"/>
          <w:lang w:val="en-US" w:eastAsia="zh-CN"/>
        </w:rPr>
      </w:pPr>
      <w:bookmarkStart w:id="12" w:name="_Toc17575"/>
      <w:r>
        <w:rPr>
          <w:rFonts w:hint="eastAsia"/>
          <w:lang w:val="en-US" w:eastAsia="zh-CN"/>
        </w:rPr>
        <w:t>4.4.1 对比实验</w:t>
      </w:r>
      <w:bookmarkEnd w:id="12"/>
    </w:p>
    <w:p w14:paraId="3D1E26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将</w:t>
      </w:r>
      <w:r>
        <w:rPr>
          <w:rFonts w:hint="eastAsia"/>
          <w:lang w:val="en-US" w:eastAsia="zh-CN"/>
        </w:rPr>
        <w:t>几类</w:t>
      </w:r>
      <w:r>
        <w:rPr>
          <w:rFonts w:hint="eastAsia"/>
        </w:rPr>
        <w:t>经典算法和前沿算法，同本研究算法在Animals-25数据集上预训练并微调训练后，得到最终模型收敛后的具体结果如表4-3所示。</w:t>
      </w:r>
    </w:p>
    <w:p w14:paraId="38B883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drawing>
          <wp:inline distT="0" distB="0" distL="114300" distR="114300">
            <wp:extent cx="4417060" cy="2021840"/>
            <wp:effectExtent l="0" t="0" r="2540" b="1016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a:picLocks noChangeAspect="1"/>
                    </pic:cNvPicPr>
                  </pic:nvPicPr>
                  <pic:blipFill>
                    <a:blip r:embed="rId12"/>
                    <a:stretch>
                      <a:fillRect/>
                    </a:stretch>
                  </pic:blipFill>
                  <pic:spPr>
                    <a:xfrm>
                      <a:off x="0" y="0"/>
                      <a:ext cx="4417060" cy="2021840"/>
                    </a:xfrm>
                    <a:prstGeom prst="rect">
                      <a:avLst/>
                    </a:prstGeom>
                    <a:noFill/>
                    <a:ln>
                      <a:noFill/>
                    </a:ln>
                  </pic:spPr>
                </pic:pic>
              </a:graphicData>
            </a:graphic>
          </wp:inline>
        </w:drawing>
      </w:r>
    </w:p>
    <w:p w14:paraId="247EE5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p>
    <w:p w14:paraId="585CBC23">
      <w:pPr>
        <w:pStyle w:val="4"/>
        <w:bidi w:val="0"/>
        <w:rPr>
          <w:rFonts w:hint="default"/>
          <w:lang w:val="en-US" w:eastAsia="zh-CN"/>
        </w:rPr>
      </w:pPr>
      <w:bookmarkStart w:id="13" w:name="_Toc19816"/>
      <w:r>
        <w:rPr>
          <w:rFonts w:hint="eastAsia"/>
          <w:lang w:val="en-US" w:eastAsia="zh-CN"/>
        </w:rPr>
        <w:t>4.4.2 消融结果验证</w:t>
      </w:r>
      <w:bookmarkEnd w:id="13"/>
    </w:p>
    <w:p w14:paraId="78AA62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sz w:val="21"/>
          <w:szCs w:val="21"/>
        </w:rPr>
      </w:pPr>
      <w:r>
        <w:rPr>
          <w:rFonts w:hint="eastAsia"/>
          <w:sz w:val="21"/>
          <w:szCs w:val="21"/>
        </w:rPr>
        <w:t>针对本文提出的改进算法模型EfficientNetV2-SC进行消融实验，为了让实验更加合理，预训练数据集选择数据量较大的Animals-25，目标数据集依旧选择本文构建的</w:t>
      </w:r>
      <w:r>
        <w:rPr>
          <w:rFonts w:hint="eastAsia"/>
          <w:sz w:val="21"/>
          <w:szCs w:val="21"/>
          <w:lang w:eastAsia="zh-CN"/>
        </w:rPr>
        <w:t>土家织锦图案纹样数据集</w:t>
      </w:r>
      <w:r>
        <w:rPr>
          <w:rFonts w:hint="eastAsia"/>
          <w:sz w:val="21"/>
          <w:szCs w:val="21"/>
        </w:rPr>
        <w:t>。本节共设置了以下5种变体模型：</w:t>
      </w:r>
    </w:p>
    <w:p w14:paraId="3BA130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sz w:val="21"/>
          <w:szCs w:val="21"/>
        </w:rPr>
      </w:pPr>
      <w:r>
        <w:rPr>
          <w:rFonts w:hint="eastAsia"/>
          <w:sz w:val="21"/>
          <w:szCs w:val="21"/>
          <w:lang w:eastAsia="zh-CN"/>
        </w:rPr>
        <w:t>(</w:t>
      </w:r>
      <w:r>
        <w:rPr>
          <w:rFonts w:hint="eastAsia"/>
          <w:sz w:val="21"/>
          <w:szCs w:val="21"/>
        </w:rPr>
        <w:t>1</w:t>
      </w:r>
      <w:r>
        <w:rPr>
          <w:rFonts w:hint="eastAsia"/>
          <w:sz w:val="21"/>
          <w:szCs w:val="21"/>
          <w:lang w:eastAsia="zh-CN"/>
        </w:rPr>
        <w:t>)</w:t>
      </w:r>
      <w:r>
        <w:rPr>
          <w:rFonts w:hint="eastAsia"/>
          <w:sz w:val="21"/>
          <w:szCs w:val="21"/>
        </w:rPr>
        <w:t>EfficientNetV2-S1：去除标签平滑交叉熵损失函数；</w:t>
      </w:r>
    </w:p>
    <w:p w14:paraId="31BF3CC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sz w:val="21"/>
          <w:szCs w:val="21"/>
        </w:rPr>
      </w:pPr>
      <w:r>
        <w:rPr>
          <w:rFonts w:hint="eastAsia"/>
          <w:sz w:val="21"/>
          <w:szCs w:val="21"/>
          <w:lang w:eastAsia="zh-CN"/>
        </w:rPr>
        <w:t>(</w:t>
      </w:r>
      <w:r>
        <w:rPr>
          <w:rFonts w:hint="eastAsia"/>
          <w:sz w:val="21"/>
          <w:szCs w:val="21"/>
        </w:rPr>
        <w:t>2</w:t>
      </w:r>
      <w:r>
        <w:rPr>
          <w:rFonts w:hint="eastAsia"/>
          <w:sz w:val="21"/>
          <w:szCs w:val="21"/>
          <w:lang w:eastAsia="zh-CN"/>
        </w:rPr>
        <w:t>)</w:t>
      </w:r>
      <w:r>
        <w:rPr>
          <w:rFonts w:hint="eastAsia"/>
          <w:sz w:val="21"/>
          <w:szCs w:val="21"/>
        </w:rPr>
        <w:t>EfficientNetV2-S2：去除CBAM注意力机制，使用SE注意力机制；</w:t>
      </w:r>
    </w:p>
    <w:p w14:paraId="108B3D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sz w:val="21"/>
          <w:szCs w:val="21"/>
        </w:rPr>
      </w:pPr>
      <w:r>
        <w:rPr>
          <w:rFonts w:hint="eastAsia"/>
          <w:sz w:val="21"/>
          <w:szCs w:val="21"/>
          <w:lang w:eastAsia="zh-CN"/>
        </w:rPr>
        <w:t>(</w:t>
      </w:r>
      <w:r>
        <w:rPr>
          <w:rFonts w:hint="eastAsia"/>
          <w:sz w:val="21"/>
          <w:szCs w:val="21"/>
        </w:rPr>
        <w:t>3</w:t>
      </w:r>
      <w:r>
        <w:rPr>
          <w:rFonts w:hint="eastAsia"/>
          <w:sz w:val="21"/>
          <w:szCs w:val="21"/>
          <w:lang w:eastAsia="zh-CN"/>
        </w:rPr>
        <w:t>)</w:t>
      </w:r>
      <w:r>
        <w:rPr>
          <w:rFonts w:hint="eastAsia"/>
          <w:sz w:val="21"/>
          <w:szCs w:val="21"/>
        </w:rPr>
        <w:t>EfficientNetV2-S3：去除数据增强；</w:t>
      </w:r>
    </w:p>
    <w:p w14:paraId="48D3068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sz w:val="21"/>
          <w:szCs w:val="21"/>
        </w:rPr>
      </w:pPr>
      <w:r>
        <w:rPr>
          <w:rFonts w:hint="eastAsia"/>
          <w:sz w:val="21"/>
          <w:szCs w:val="21"/>
          <w:lang w:eastAsia="zh-CN"/>
        </w:rPr>
        <w:t>(</w:t>
      </w:r>
      <w:r>
        <w:rPr>
          <w:rFonts w:hint="eastAsia"/>
          <w:sz w:val="21"/>
          <w:szCs w:val="21"/>
        </w:rPr>
        <w:t>4</w:t>
      </w:r>
      <w:r>
        <w:rPr>
          <w:rFonts w:hint="eastAsia"/>
          <w:sz w:val="21"/>
          <w:szCs w:val="21"/>
          <w:lang w:eastAsia="zh-CN"/>
        </w:rPr>
        <w:t>)</w:t>
      </w:r>
      <w:r>
        <w:rPr>
          <w:rFonts w:hint="eastAsia"/>
          <w:sz w:val="21"/>
          <w:szCs w:val="21"/>
        </w:rPr>
        <w:t>EfficientNetV2-S4：微调时，冻结全部网络层，只解冻全连接层；</w:t>
      </w:r>
    </w:p>
    <w:p w14:paraId="62AD948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sz w:val="21"/>
          <w:szCs w:val="21"/>
        </w:rPr>
      </w:pPr>
      <w:r>
        <w:rPr>
          <w:rFonts w:hint="eastAsia"/>
          <w:sz w:val="21"/>
          <w:szCs w:val="21"/>
          <w:lang w:eastAsia="zh-CN"/>
        </w:rPr>
        <w:t>(</w:t>
      </w:r>
      <w:r>
        <w:rPr>
          <w:rFonts w:hint="eastAsia"/>
          <w:sz w:val="21"/>
          <w:szCs w:val="21"/>
        </w:rPr>
        <w:t>5</w:t>
      </w:r>
      <w:r>
        <w:rPr>
          <w:rFonts w:hint="eastAsia"/>
          <w:sz w:val="21"/>
          <w:szCs w:val="21"/>
          <w:lang w:eastAsia="zh-CN"/>
        </w:rPr>
        <w:t>)</w:t>
      </w:r>
      <w:r>
        <w:rPr>
          <w:rFonts w:hint="eastAsia"/>
          <w:sz w:val="21"/>
          <w:szCs w:val="21"/>
        </w:rPr>
        <w:t>EfficientNetV2-S5：微调时，采用渐进式解冻策略，从顶层到底层分层解冻。</w:t>
      </w:r>
    </w:p>
    <w:p w14:paraId="3827B6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sz w:val="21"/>
          <w:szCs w:val="21"/>
        </w:rPr>
      </w:pPr>
      <w:r>
        <w:rPr>
          <w:rFonts w:hint="eastAsia"/>
          <w:sz w:val="21"/>
          <w:szCs w:val="21"/>
        </w:rPr>
        <w:t>其中，前三个模型实验设置在预训练阶段，后两个实验设置在迁移之后的模型微调阶段。</w:t>
      </w:r>
    </w:p>
    <w:p w14:paraId="1325470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sz w:val="21"/>
          <w:szCs w:val="21"/>
          <w:lang w:eastAsia="zh-CN"/>
        </w:rPr>
      </w:pPr>
      <w:r>
        <w:rPr>
          <w:rFonts w:hint="eastAsia"/>
          <w:sz w:val="21"/>
          <w:szCs w:val="21"/>
        </w:rPr>
        <w:t>实验a，将本算法模型与</w:t>
      </w:r>
      <w:r>
        <w:rPr>
          <w:rFonts w:hint="eastAsia"/>
          <w:sz w:val="21"/>
          <w:szCs w:val="21"/>
          <w:lang w:eastAsia="zh-CN"/>
        </w:rPr>
        <w:t>(</w:t>
      </w:r>
      <w:r>
        <w:rPr>
          <w:rFonts w:hint="eastAsia"/>
          <w:sz w:val="21"/>
          <w:szCs w:val="21"/>
        </w:rPr>
        <w:t>1</w:t>
      </w:r>
      <w:r>
        <w:rPr>
          <w:rFonts w:hint="eastAsia"/>
          <w:sz w:val="21"/>
          <w:szCs w:val="21"/>
          <w:lang w:eastAsia="zh-CN"/>
        </w:rPr>
        <w:t>)(</w:t>
      </w:r>
      <w:r>
        <w:rPr>
          <w:rFonts w:hint="eastAsia"/>
          <w:sz w:val="21"/>
          <w:szCs w:val="21"/>
        </w:rPr>
        <w:t>2</w:t>
      </w:r>
      <w:r>
        <w:rPr>
          <w:rFonts w:hint="eastAsia"/>
          <w:sz w:val="21"/>
          <w:szCs w:val="21"/>
          <w:lang w:eastAsia="zh-CN"/>
        </w:rPr>
        <w:t>)</w:t>
      </w:r>
      <w:r>
        <w:rPr>
          <w:rFonts w:hint="eastAsia"/>
          <w:sz w:val="21"/>
          <w:szCs w:val="21"/>
        </w:rPr>
        <w:t>组模型设置对比试验，以此研究改进模型中使用的损失函数和注意力机制对于本研究任务的作用，对比结果如图所示。</w:t>
      </w:r>
      <w:r>
        <w:rPr>
          <w:rFonts w:hint="eastAsia"/>
          <w:color w:val="000000" w:themeColor="text1"/>
          <w:sz w:val="21"/>
          <w:szCs w:val="21"/>
          <w14:textFill>
            <w14:solidFill>
              <w14:schemeClr w14:val="tx1"/>
            </w14:solidFill>
          </w14:textFill>
        </w:rPr>
        <w:t>实验结果表明，</w:t>
      </w:r>
      <w:r>
        <w:rPr>
          <w:rFonts w:hint="eastAsia"/>
          <w:color w:val="000000" w:themeColor="text1"/>
          <w:sz w:val="21"/>
          <w:szCs w:val="21"/>
          <w:lang w:val="en-US" w:eastAsia="zh-CN"/>
          <w14:textFill>
            <w14:solidFill>
              <w14:schemeClr w14:val="tx1"/>
            </w14:solidFill>
          </w14:textFill>
        </w:rPr>
        <w:t>改进</w:t>
      </w:r>
      <w:r>
        <w:rPr>
          <w:rFonts w:hint="eastAsia"/>
          <w:color w:val="000000" w:themeColor="text1"/>
          <w:sz w:val="21"/>
          <w:szCs w:val="21"/>
          <w14:textFill>
            <w14:solidFill>
              <w14:schemeClr w14:val="tx1"/>
            </w14:solidFill>
          </w14:textFill>
        </w:rPr>
        <w:t>CBAM机制</w:t>
      </w:r>
      <w:r>
        <w:rPr>
          <w:rFonts w:hint="eastAsia"/>
          <w:color w:val="000000" w:themeColor="text1"/>
          <w:sz w:val="21"/>
          <w:szCs w:val="21"/>
          <w:lang w:val="en-US" w:eastAsia="zh-CN"/>
          <w14:textFill>
            <w14:solidFill>
              <w14:schemeClr w14:val="tx1"/>
            </w14:solidFill>
          </w14:textFill>
        </w:rPr>
        <w:t>通过</w:t>
      </w:r>
      <w:r>
        <w:rPr>
          <w:rFonts w:hint="eastAsia"/>
          <w:color w:val="000000" w:themeColor="text1"/>
          <w:sz w:val="21"/>
          <w:szCs w:val="21"/>
          <w14:textFill>
            <w14:solidFill>
              <w14:schemeClr w14:val="tx1"/>
            </w14:solidFill>
          </w14:textFill>
        </w:rPr>
        <w:t>动态调整特征图中各部分的</w:t>
      </w:r>
      <w:r>
        <w:rPr>
          <w:rFonts w:hint="eastAsia"/>
          <w:color w:val="000000" w:themeColor="text1"/>
          <w:sz w:val="21"/>
          <w:szCs w:val="21"/>
          <w:lang w:val="en-US" w:eastAsia="zh-CN"/>
          <w14:textFill>
            <w14:solidFill>
              <w14:schemeClr w14:val="tx1"/>
            </w14:solidFill>
          </w14:textFill>
        </w:rPr>
        <w:t>权重，</w:t>
      </w:r>
      <w:r>
        <w:rPr>
          <w:rFonts w:hint="eastAsia"/>
          <w:color w:val="000000" w:themeColor="text1"/>
          <w:sz w:val="21"/>
          <w:szCs w:val="21"/>
          <w14:textFill>
            <w14:solidFill>
              <w14:schemeClr w14:val="tx1"/>
            </w14:solidFill>
          </w14:textFill>
        </w:rPr>
        <w:t>显著提升对土家织锦特征的提取能力，对本研</w:t>
      </w:r>
      <w:r>
        <w:rPr>
          <w:rFonts w:hint="eastAsia"/>
          <w:sz w:val="21"/>
          <w:szCs w:val="21"/>
        </w:rPr>
        <w:t>究的分类任务在性能上有明显提高。</w:t>
      </w:r>
    </w:p>
    <w:p w14:paraId="256E122E">
      <w:pPr>
        <w:jc w:val="center"/>
        <w:rPr>
          <w:sz w:val="21"/>
          <w:szCs w:val="21"/>
        </w:rPr>
      </w:pPr>
      <w:r>
        <w:rPr>
          <w:sz w:val="21"/>
          <w:szCs w:val="21"/>
        </w:rPr>
        <w:drawing>
          <wp:inline distT="0" distB="0" distL="114300" distR="114300">
            <wp:extent cx="2700020" cy="2205990"/>
            <wp:effectExtent l="0" t="0" r="5080" b="3810"/>
            <wp:docPr id="8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23"/>
                    <pic:cNvPicPr>
                      <a:picLocks noChangeAspect="1"/>
                    </pic:cNvPicPr>
                  </pic:nvPicPr>
                  <pic:blipFill>
                    <a:blip r:embed="rId13"/>
                    <a:stretch>
                      <a:fillRect/>
                    </a:stretch>
                  </pic:blipFill>
                  <pic:spPr>
                    <a:xfrm>
                      <a:off x="0" y="0"/>
                      <a:ext cx="2700020" cy="2205990"/>
                    </a:xfrm>
                    <a:prstGeom prst="rect">
                      <a:avLst/>
                    </a:prstGeom>
                    <a:noFill/>
                    <a:ln>
                      <a:noFill/>
                    </a:ln>
                  </pic:spPr>
                </pic:pic>
              </a:graphicData>
            </a:graphic>
          </wp:inline>
        </w:drawing>
      </w:r>
    </w:p>
    <w:p w14:paraId="6FDFAC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color w:val="000000" w:themeColor="text1"/>
          <w:sz w:val="21"/>
          <w:szCs w:val="21"/>
          <w14:textFill>
            <w14:solidFill>
              <w14:schemeClr w14:val="tx1"/>
            </w14:solidFill>
          </w14:textFill>
        </w:rPr>
      </w:pPr>
      <w:r>
        <w:rPr>
          <w:rFonts w:hint="eastAsia"/>
          <w:sz w:val="21"/>
          <w:szCs w:val="21"/>
        </w:rPr>
        <w:t>实验b，本组消融实验是模型</w:t>
      </w:r>
      <w:r>
        <w:rPr>
          <w:rFonts w:hint="eastAsia"/>
          <w:sz w:val="21"/>
          <w:szCs w:val="21"/>
          <w:lang w:eastAsia="zh-CN"/>
        </w:rPr>
        <w:t>(</w:t>
      </w:r>
      <w:r>
        <w:rPr>
          <w:rFonts w:hint="eastAsia"/>
          <w:sz w:val="21"/>
          <w:szCs w:val="21"/>
        </w:rPr>
        <w:t>3</w:t>
      </w:r>
      <w:r>
        <w:rPr>
          <w:rFonts w:hint="eastAsia"/>
          <w:sz w:val="21"/>
          <w:szCs w:val="21"/>
          <w:lang w:eastAsia="zh-CN"/>
        </w:rPr>
        <w:t>)</w:t>
      </w:r>
      <w:r>
        <w:rPr>
          <w:rFonts w:hint="eastAsia"/>
          <w:sz w:val="21"/>
          <w:szCs w:val="21"/>
        </w:rPr>
        <w:t>，即在改进模型上去除数据增强后，与原模型对比实验，对比结果如图所示。结果表明，去除数据增强后，模型的性能下降严重，准确率仅有71.2%，且发生了较明显的过拟合现象。</w:t>
      </w:r>
    </w:p>
    <w:p w14:paraId="72FA88E4">
      <w:pPr>
        <w:snapToGrid w:val="0"/>
        <w:jc w:val="center"/>
        <w:rPr>
          <w:sz w:val="21"/>
          <w:szCs w:val="21"/>
        </w:rPr>
      </w:pPr>
      <w:r>
        <w:rPr>
          <w:sz w:val="21"/>
          <w:szCs w:val="21"/>
        </w:rPr>
        <w:drawing>
          <wp:inline distT="0" distB="0" distL="114300" distR="114300">
            <wp:extent cx="2517140" cy="2050415"/>
            <wp:effectExtent l="0" t="0" r="10160" b="6985"/>
            <wp:docPr id="8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6"/>
                    <pic:cNvPicPr>
                      <a:picLocks noChangeAspect="1"/>
                    </pic:cNvPicPr>
                  </pic:nvPicPr>
                  <pic:blipFill>
                    <a:blip r:embed="rId14"/>
                    <a:stretch>
                      <a:fillRect/>
                    </a:stretch>
                  </pic:blipFill>
                  <pic:spPr>
                    <a:xfrm>
                      <a:off x="0" y="0"/>
                      <a:ext cx="2517140" cy="2050415"/>
                    </a:xfrm>
                    <a:prstGeom prst="rect">
                      <a:avLst/>
                    </a:prstGeom>
                    <a:noFill/>
                    <a:ln>
                      <a:noFill/>
                    </a:ln>
                  </pic:spPr>
                </pic:pic>
              </a:graphicData>
            </a:graphic>
          </wp:inline>
        </w:drawing>
      </w:r>
      <w:r>
        <w:rPr>
          <w:sz w:val="21"/>
          <w:szCs w:val="21"/>
        </w:rPr>
        <w:drawing>
          <wp:inline distT="0" distB="0" distL="114300" distR="114300">
            <wp:extent cx="2599055" cy="2043430"/>
            <wp:effectExtent l="0" t="0" r="4445" b="1270"/>
            <wp:docPr id="8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7"/>
                    <pic:cNvPicPr>
                      <a:picLocks noChangeAspect="1"/>
                    </pic:cNvPicPr>
                  </pic:nvPicPr>
                  <pic:blipFill>
                    <a:blip r:embed="rId15"/>
                    <a:srcRect r="249" b="2238"/>
                    <a:stretch>
                      <a:fillRect/>
                    </a:stretch>
                  </pic:blipFill>
                  <pic:spPr>
                    <a:xfrm>
                      <a:off x="0" y="0"/>
                      <a:ext cx="2599055" cy="2043430"/>
                    </a:xfrm>
                    <a:prstGeom prst="rect">
                      <a:avLst/>
                    </a:prstGeom>
                    <a:noFill/>
                    <a:ln>
                      <a:noFill/>
                    </a:ln>
                  </pic:spPr>
                </pic:pic>
              </a:graphicData>
            </a:graphic>
          </wp:inline>
        </w:drawing>
      </w:r>
    </w:p>
    <w:p w14:paraId="10629009">
      <w:pPr>
        <w:jc w:val="center"/>
        <w:rPr>
          <w:rFonts w:hint="eastAsia"/>
          <w:bCs/>
          <w:color w:val="000000" w:themeColor="text1"/>
          <w:sz w:val="21"/>
          <w:szCs w:val="21"/>
          <w14:textFill>
            <w14:solidFill>
              <w14:schemeClr w14:val="tx1"/>
            </w14:solidFill>
          </w14:textFill>
        </w:rPr>
      </w:pPr>
      <w:r>
        <w:rPr>
          <w:rFonts w:hint="eastAsia"/>
          <w:bCs/>
          <w:color w:val="000000" w:themeColor="text1"/>
          <w:sz w:val="21"/>
          <w:szCs w:val="21"/>
          <w:lang w:val="en-US" w:eastAsia="zh-CN"/>
          <w14:textFill>
            <w14:solidFill>
              <w14:schemeClr w14:val="tx1"/>
            </w14:solidFill>
          </w14:textFill>
        </w:rPr>
        <w:t xml:space="preserve">   </w:t>
      </w:r>
      <w:r>
        <w:rPr>
          <w:rFonts w:hint="eastAsia"/>
          <w:bCs/>
          <w:color w:val="000000" w:themeColor="text1"/>
          <w:sz w:val="21"/>
          <w:szCs w:val="21"/>
          <w14:textFill>
            <w14:solidFill>
              <w14:schemeClr w14:val="tx1"/>
            </w14:solidFill>
          </w14:textFill>
        </w:rPr>
        <w:t>(a)准确率                                     (b)损失值</w:t>
      </w:r>
    </w:p>
    <w:p w14:paraId="19C13A6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sz w:val="21"/>
          <w:szCs w:val="21"/>
        </w:rPr>
      </w:pPr>
      <w:r>
        <w:rPr>
          <w:rFonts w:hint="eastAsia"/>
          <w:sz w:val="21"/>
          <w:szCs w:val="21"/>
        </w:rPr>
        <w:t>实验c，本算法模型与</w:t>
      </w:r>
      <w:r>
        <w:rPr>
          <w:rFonts w:hint="eastAsia"/>
          <w:sz w:val="21"/>
          <w:szCs w:val="21"/>
          <w:lang w:eastAsia="zh-CN"/>
        </w:rPr>
        <w:t>(</w:t>
      </w:r>
      <w:r>
        <w:rPr>
          <w:rFonts w:hint="eastAsia"/>
          <w:sz w:val="21"/>
          <w:szCs w:val="21"/>
        </w:rPr>
        <w:t>4</w:t>
      </w:r>
      <w:r>
        <w:rPr>
          <w:rFonts w:hint="eastAsia"/>
          <w:sz w:val="21"/>
          <w:szCs w:val="21"/>
          <w:lang w:eastAsia="zh-CN"/>
        </w:rPr>
        <w:t>)(</w:t>
      </w:r>
      <w:r>
        <w:rPr>
          <w:rFonts w:hint="eastAsia"/>
          <w:sz w:val="21"/>
          <w:szCs w:val="21"/>
        </w:rPr>
        <w:t>5</w:t>
      </w:r>
      <w:r>
        <w:rPr>
          <w:rFonts w:hint="eastAsia"/>
          <w:sz w:val="21"/>
          <w:szCs w:val="21"/>
          <w:lang w:eastAsia="zh-CN"/>
        </w:rPr>
        <w:t>)</w:t>
      </w:r>
      <w:r>
        <w:rPr>
          <w:rFonts w:hint="eastAsia"/>
          <w:sz w:val="21"/>
          <w:szCs w:val="21"/>
        </w:rPr>
        <w:t>组模型设置对比试验。将预训练后的模型迁移到目标任务时，采用不同的冻结和解冻策略测试模型的特征提取能力，对比结果如图所示。其中，网络层全冻结的准确率仅有72.5%；渐进式解冻策略虽然在逐步解冻的过程中，在目标任务取得了较高的训练准确率99.4%，但在同步测试时发生了严重的过拟合现象。实验证明，冻结的浅层网络</w:t>
      </w:r>
      <w:r>
        <w:rPr>
          <w:rFonts w:hint="eastAsia"/>
          <w:sz w:val="21"/>
          <w:szCs w:val="21"/>
          <w:lang w:val="en-US" w:eastAsia="zh-CN"/>
        </w:rPr>
        <w:t>有效保留了</w:t>
      </w:r>
      <w:r>
        <w:rPr>
          <w:rFonts w:hint="eastAsia"/>
          <w:sz w:val="21"/>
          <w:szCs w:val="21"/>
        </w:rPr>
        <w:t>预训练获得的特征提取能力</w:t>
      </w:r>
      <w:r>
        <w:rPr>
          <w:rFonts w:hint="eastAsia"/>
          <w:sz w:val="21"/>
          <w:szCs w:val="21"/>
          <w:lang w:eastAsia="zh-CN"/>
        </w:rPr>
        <w:t>，</w:t>
      </w:r>
      <w:r>
        <w:rPr>
          <w:rFonts w:hint="eastAsia"/>
          <w:sz w:val="21"/>
          <w:szCs w:val="21"/>
        </w:rPr>
        <w:t>在织锦分类任务上取得了较为理想的效果。</w:t>
      </w:r>
    </w:p>
    <w:p w14:paraId="24EA3C8A">
      <w:pPr>
        <w:jc w:val="center"/>
        <w:rPr>
          <w:sz w:val="21"/>
          <w:szCs w:val="21"/>
        </w:rPr>
      </w:pPr>
      <w:r>
        <w:rPr>
          <w:sz w:val="21"/>
          <w:szCs w:val="21"/>
        </w:rPr>
        <w:drawing>
          <wp:inline distT="0" distB="0" distL="114300" distR="114300">
            <wp:extent cx="3021330" cy="2336800"/>
            <wp:effectExtent l="0" t="0" r="1270" b="0"/>
            <wp:docPr id="9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25"/>
                    <pic:cNvPicPr>
                      <a:picLocks noChangeAspect="1"/>
                    </pic:cNvPicPr>
                  </pic:nvPicPr>
                  <pic:blipFill>
                    <a:blip r:embed="rId16"/>
                    <a:stretch>
                      <a:fillRect/>
                    </a:stretch>
                  </pic:blipFill>
                  <pic:spPr>
                    <a:xfrm>
                      <a:off x="0" y="0"/>
                      <a:ext cx="3021330" cy="2336800"/>
                    </a:xfrm>
                    <a:prstGeom prst="rect">
                      <a:avLst/>
                    </a:prstGeom>
                    <a:noFill/>
                    <a:ln>
                      <a:noFill/>
                    </a:ln>
                  </pic:spPr>
                </pic:pic>
              </a:graphicData>
            </a:graphic>
          </wp:inline>
        </w:drawing>
      </w:r>
    </w:p>
    <w:p w14:paraId="492139AC">
      <w:pPr>
        <w:pStyle w:val="5"/>
        <w:keepNext w:val="0"/>
        <w:keepLines w:val="0"/>
        <w:pageBreakBefore w:val="0"/>
        <w:widowControl w:val="0"/>
        <w:kinsoku/>
        <w:wordWrap/>
        <w:overflowPunct/>
        <w:topLinePunct w:val="0"/>
        <w:autoSpaceDE/>
        <w:autoSpaceDN/>
        <w:bidi w:val="0"/>
        <w:adjustRightInd/>
        <w:snapToGrid/>
        <w:spacing w:after="157" w:afterLines="50"/>
        <w:ind w:firstLine="0" w:firstLineChars="0"/>
        <w:jc w:val="center"/>
        <w:textAlignment w:val="auto"/>
        <w:rPr>
          <w:rFonts w:ascii="Times New Roman" w:hAnsi="Times New Roman" w:eastAsia="宋体"/>
          <w:bCs/>
          <w:color w:val="auto"/>
          <w:sz w:val="21"/>
          <w:szCs w:val="21"/>
        </w:rPr>
      </w:pPr>
      <w:r>
        <w:rPr>
          <w:rFonts w:ascii="Times New Roman" w:hAnsi="Times New Roman" w:eastAsia="宋体"/>
          <w:bCs/>
          <w:color w:val="auto"/>
          <w:sz w:val="21"/>
          <w:szCs w:val="21"/>
        </w:rPr>
        <w:t>图</w:t>
      </w:r>
      <w:r>
        <w:rPr>
          <w:rFonts w:hint="eastAsia" w:ascii="Times New Roman" w:hAnsi="Times New Roman" w:eastAsia="宋体"/>
          <w:bCs/>
          <w:color w:val="auto"/>
          <w:sz w:val="21"/>
          <w:szCs w:val="21"/>
        </w:rPr>
        <w:t>4-1</w:t>
      </w:r>
      <w:r>
        <w:rPr>
          <w:rFonts w:hint="eastAsia" w:ascii="Times New Roman" w:hAnsi="Times New Roman" w:eastAsia="宋体"/>
          <w:bCs/>
          <w:color w:val="auto"/>
          <w:sz w:val="21"/>
          <w:szCs w:val="21"/>
          <w:lang w:val="en-US" w:eastAsia="zh-CN"/>
        </w:rPr>
        <w:t>4</w:t>
      </w:r>
      <w:r>
        <w:rPr>
          <w:rFonts w:hint="eastAsia" w:ascii="Times New Roman" w:hAnsi="Times New Roman" w:eastAsia="宋体"/>
          <w:bCs/>
          <w:color w:val="auto"/>
          <w:sz w:val="21"/>
          <w:szCs w:val="21"/>
        </w:rPr>
        <w:t xml:space="preserve"> 网络层冻结和解冻策略的消融实验</w:t>
      </w:r>
    </w:p>
    <w:p w14:paraId="1AAE5686">
      <w:pPr>
        <w:snapToGrid w:val="0"/>
        <w:jc w:val="center"/>
        <w:rPr>
          <w:sz w:val="21"/>
          <w:szCs w:val="21"/>
        </w:rPr>
      </w:pPr>
      <w:r>
        <w:rPr>
          <w:sz w:val="21"/>
          <w:szCs w:val="21"/>
        </w:rPr>
        <w:drawing>
          <wp:inline distT="0" distB="0" distL="114300" distR="114300">
            <wp:extent cx="2529840" cy="2054225"/>
            <wp:effectExtent l="0" t="0" r="10160" b="3175"/>
            <wp:docPr id="8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20"/>
                    <pic:cNvPicPr>
                      <a:picLocks noChangeAspect="1"/>
                    </pic:cNvPicPr>
                  </pic:nvPicPr>
                  <pic:blipFill>
                    <a:blip r:embed="rId17"/>
                    <a:srcRect r="454" b="1265"/>
                    <a:stretch>
                      <a:fillRect/>
                    </a:stretch>
                  </pic:blipFill>
                  <pic:spPr>
                    <a:xfrm>
                      <a:off x="0" y="0"/>
                      <a:ext cx="2529840" cy="2054225"/>
                    </a:xfrm>
                    <a:prstGeom prst="rect">
                      <a:avLst/>
                    </a:prstGeom>
                    <a:noFill/>
                    <a:ln>
                      <a:noFill/>
                    </a:ln>
                  </pic:spPr>
                </pic:pic>
              </a:graphicData>
            </a:graphic>
          </wp:inline>
        </w:drawing>
      </w:r>
      <w:r>
        <w:rPr>
          <w:sz w:val="21"/>
          <w:szCs w:val="21"/>
        </w:rPr>
        <w:drawing>
          <wp:inline distT="0" distB="0" distL="114300" distR="114300">
            <wp:extent cx="2399030" cy="2011680"/>
            <wp:effectExtent l="0" t="0" r="1270" b="7620"/>
            <wp:docPr id="8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21"/>
                    <pic:cNvPicPr>
                      <a:picLocks noChangeAspect="1"/>
                    </pic:cNvPicPr>
                  </pic:nvPicPr>
                  <pic:blipFill>
                    <a:blip r:embed="rId18"/>
                    <a:stretch>
                      <a:fillRect/>
                    </a:stretch>
                  </pic:blipFill>
                  <pic:spPr>
                    <a:xfrm>
                      <a:off x="0" y="0"/>
                      <a:ext cx="2399030" cy="2011680"/>
                    </a:xfrm>
                    <a:prstGeom prst="rect">
                      <a:avLst/>
                    </a:prstGeom>
                    <a:noFill/>
                    <a:ln>
                      <a:noFill/>
                    </a:ln>
                  </pic:spPr>
                </pic:pic>
              </a:graphicData>
            </a:graphic>
          </wp:inline>
        </w:drawing>
      </w:r>
    </w:p>
    <w:p w14:paraId="7D7048B9">
      <w:pPr>
        <w:jc w:val="center"/>
        <w:rPr>
          <w:rFonts w:hint="eastAsia"/>
          <w:sz w:val="21"/>
          <w:szCs w:val="21"/>
        </w:rPr>
      </w:pPr>
      <w:r>
        <w:rPr>
          <w:rFonts w:hint="eastAsia"/>
          <w:bCs/>
          <w:color w:val="000000" w:themeColor="text1"/>
          <w:sz w:val="21"/>
          <w:szCs w:val="21"/>
          <w:lang w:val="en-US" w:eastAsia="zh-CN"/>
          <w14:textFill>
            <w14:solidFill>
              <w14:schemeClr w14:val="tx1"/>
            </w14:solidFill>
          </w14:textFill>
        </w:rPr>
        <w:t xml:space="preserve">     </w:t>
      </w:r>
      <w:r>
        <w:rPr>
          <w:rFonts w:hint="eastAsia"/>
          <w:bCs/>
          <w:color w:val="000000" w:themeColor="text1"/>
          <w:sz w:val="21"/>
          <w:szCs w:val="21"/>
          <w14:textFill>
            <w14:solidFill>
              <w14:schemeClr w14:val="tx1"/>
            </w14:solidFill>
          </w14:textFill>
        </w:rPr>
        <w:t xml:space="preserve">(a)准确率                         </w:t>
      </w:r>
      <w:r>
        <w:rPr>
          <w:rFonts w:hint="eastAsia"/>
          <w:bCs/>
          <w:color w:val="000000" w:themeColor="text1"/>
          <w:sz w:val="21"/>
          <w:szCs w:val="21"/>
          <w:lang w:val="en-US" w:eastAsia="zh-CN"/>
          <w14:textFill>
            <w14:solidFill>
              <w14:schemeClr w14:val="tx1"/>
            </w14:solidFill>
          </w14:textFill>
        </w:rPr>
        <w:t xml:space="preserve">    </w:t>
      </w:r>
      <w:r>
        <w:rPr>
          <w:rFonts w:hint="eastAsia"/>
          <w:bCs/>
          <w:color w:val="000000" w:themeColor="text1"/>
          <w:sz w:val="21"/>
          <w:szCs w:val="21"/>
          <w14:textFill>
            <w14:solidFill>
              <w14:schemeClr w14:val="tx1"/>
            </w14:solidFill>
          </w14:textFill>
        </w:rPr>
        <w:t xml:space="preserve">     (b)损失值</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0"/>
    <w:family w:val="roman"/>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BD0E13"/>
    <w:rsid w:val="03236706"/>
    <w:rsid w:val="03942A31"/>
    <w:rsid w:val="044E2BE0"/>
    <w:rsid w:val="0451447E"/>
    <w:rsid w:val="05465FAD"/>
    <w:rsid w:val="06222576"/>
    <w:rsid w:val="08D538D0"/>
    <w:rsid w:val="0BDE6F3F"/>
    <w:rsid w:val="0D8B27AF"/>
    <w:rsid w:val="0ED10695"/>
    <w:rsid w:val="0F816C2F"/>
    <w:rsid w:val="13EE3A98"/>
    <w:rsid w:val="1BFB4FA4"/>
    <w:rsid w:val="1E114F52"/>
    <w:rsid w:val="218477E9"/>
    <w:rsid w:val="229D5E38"/>
    <w:rsid w:val="253B4663"/>
    <w:rsid w:val="29E277A3"/>
    <w:rsid w:val="2A922F77"/>
    <w:rsid w:val="2F880DEC"/>
    <w:rsid w:val="309061AB"/>
    <w:rsid w:val="31973569"/>
    <w:rsid w:val="32EC51EE"/>
    <w:rsid w:val="34DD74E5"/>
    <w:rsid w:val="38D10AEB"/>
    <w:rsid w:val="3AC32CD9"/>
    <w:rsid w:val="3D6D62D1"/>
    <w:rsid w:val="3FFC5F61"/>
    <w:rsid w:val="43AC2EA4"/>
    <w:rsid w:val="45EA22E1"/>
    <w:rsid w:val="4C123AC0"/>
    <w:rsid w:val="4C59349D"/>
    <w:rsid w:val="5302488E"/>
    <w:rsid w:val="56660C90"/>
    <w:rsid w:val="583A6878"/>
    <w:rsid w:val="5A772246"/>
    <w:rsid w:val="5AAC50E0"/>
    <w:rsid w:val="5BEF34D6"/>
    <w:rsid w:val="5FD410E9"/>
    <w:rsid w:val="663A1DA5"/>
    <w:rsid w:val="67BB625D"/>
    <w:rsid w:val="68367EE2"/>
    <w:rsid w:val="78961451"/>
    <w:rsid w:val="79621333"/>
    <w:rsid w:val="79C8388C"/>
    <w:rsid w:val="7AD41C60"/>
    <w:rsid w:val="7B09319D"/>
    <w:rsid w:val="7BB045D8"/>
    <w:rsid w:val="7C4F3DF1"/>
    <w:rsid w:val="7D31799A"/>
    <w:rsid w:val="7D951C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unhideWhenUsed/>
    <w:qFormat/>
    <w:uiPriority w:val="0"/>
    <w:pPr>
      <w:keepNext/>
      <w:keepLines/>
      <w:spacing w:line="360" w:lineRule="auto"/>
      <w:outlineLvl w:val="2"/>
    </w:pPr>
    <w:rPr>
      <w:rFonts w:eastAsia="黑体" w:cstheme="majorEastAsia"/>
      <w:szCs w:val="21"/>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toc 3"/>
    <w:basedOn w:val="1"/>
    <w:next w:val="1"/>
    <w:uiPriority w:val="0"/>
    <w:pPr>
      <w:ind w:left="840" w:leftChars="400"/>
    </w:pPr>
  </w:style>
  <w:style w:type="paragraph" w:styleId="7">
    <w:name w:val="toc 1"/>
    <w:basedOn w:val="1"/>
    <w:next w:val="1"/>
    <w:uiPriority w:val="0"/>
  </w:style>
  <w:style w:type="paragraph" w:styleId="8">
    <w:name w:val="toc 2"/>
    <w:basedOn w:val="1"/>
    <w:next w:val="1"/>
    <w:uiPriority w:val="0"/>
    <w:pPr>
      <w:ind w:left="420" w:leftChars="200"/>
    </w:pPr>
  </w:style>
  <w:style w:type="table" w:customStyle="1" w:styleId="11">
    <w:name w:val="无格式表格 31"/>
    <w:basedOn w:val="9"/>
    <w:qFormat/>
    <w:uiPriority w:val="0"/>
    <w:tblStylePr w:type="firstRow">
      <w:rPr>
        <w:b/>
        <w:bCs/>
        <w:caps/>
      </w:rPr>
      <w:tcPr>
        <w:tcBorders>
          <w:bottom w:val="single" w:color="7F7F7F" w:sz="4" w:space="0"/>
        </w:tcBorders>
      </w:tcPr>
    </w:tblStylePr>
    <w:tblStylePr w:type="lastRow">
      <w:rPr>
        <w:b/>
        <w:bCs/>
        <w:caps/>
      </w:rPr>
      <w:tcPr>
        <w:tcBorders>
          <w:top w:val="nil"/>
        </w:tcBorders>
      </w:tcPr>
    </w:tblStylePr>
    <w:tblStylePr w:type="firstCol">
      <w:rPr>
        <w:b/>
        <w:bCs/>
        <w:caps/>
      </w:rPr>
      <w:tcPr>
        <w:tcBorders>
          <w:right w:val="single" w:color="7F7F7F" w:sz="4" w:space="0"/>
        </w:tcBorders>
      </w:tcPr>
    </w:tblStylePr>
    <w:tblStylePr w:type="lastCol">
      <w:rPr>
        <w:b/>
        <w:bCs/>
        <w:caps/>
      </w:rPr>
      <w:tcPr>
        <w:tcBorders>
          <w:left w:val="nil"/>
        </w:tcBorders>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2530</Words>
  <Characters>3226</Characters>
  <Lines>0</Lines>
  <Paragraphs>0</Paragraphs>
  <TotalTime>1</TotalTime>
  <ScaleCrop>false</ScaleCrop>
  <LinksUpToDate>false</LinksUpToDate>
  <CharactersWithSpaces>3395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2026-04-11T08:50:00Z</dcterms:created>
  <dc:creator>Lh</dc:creator>
  <cp:lastModifiedBy>繁星、噫点</cp:lastModifiedBy>
  <dcterms:modified xsi:type="dcterms:W3CDTF">2026-04-11T11:36:18Z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eyJoZGlkIjoiMzJlNDhkNjRhMjY3OGZhMTBhZmUxODg5ZjA2ZDNjMTYiLCJ1c2VySWQiOiI1MDAyNDg0ODIifQ==</vt:lpwstr>
  </property>
  <property fmtid="{D5CDD505-2E9C-101B-9397-08002B2CF9AE}" pid="4" name="ICV">
    <vt:lpwstr>F52354CE5C2A43088C441FF715E5A049_12</vt:lpwstr>
  </property>
</Properties>
</file>