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问题描述：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当代老人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精神生活普遍贫乏.据了解,老人普遍有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孤独感。存在的主要问题包括：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大多数老人的孩子在外工作，无法时刻陪伴在父母的身边，大多数老人不热衷于游戏电视，平日的活动只有做饭，聊天，跳广场舞，这不利于老人内心需要陪伴的特点。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少部分老人由于不善交际，很少出门，缺乏交流。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2，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群众关爱意识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逐渐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淡化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以前,孤寡老人的粮油、服装等实物多数由村民小组集体凑集,平时生病有亲朋或邻居照看,房屋损坏由集体维修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但近年来,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随着住宅小区的增加，邻里关系逐渐淡薄，很难建立起长期亲密互动的关系。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3，中老年人生活健康管理需求难以得到满足，业余生活仍有很大丰富空间，符合老年用户的周边生活预定应用市场空缺。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4.截止到2019年底，全国60岁及以上老年人口达2.54亿，占全国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总人口的18.1%，社会养老负担重，对养老护理人员的需求量大。</w:t>
      </w:r>
      <w:r>
        <w:rPr>
          <w:rFonts w:hint="eastAsia"/>
          <w:lang w:val="en-US" w:eastAsia="zh-CN"/>
        </w:rPr>
        <w:t>我国人口老龄化程度具有不断加深的趋势。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5、我国养老护理人才缺口大。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老年人从功能性需求转型为对精神与文化的需求，</w:t>
      </w:r>
      <w:r>
        <w:rPr>
          <w:rFonts w:hint="eastAsia"/>
          <w:lang w:val="en-US" w:eastAsia="zh-CN"/>
        </w:rPr>
        <w:t>传统养老机构已很难满足老年人的深层需求。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近年来，关于倡导智慧健康养老的政策密集出台，并成为国家战略。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F66E8"/>
    <w:multiLevelType w:val="singleLevel"/>
    <w:tmpl w:val="2EDF66E8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4E7010CF"/>
    <w:multiLevelType w:val="singleLevel"/>
    <w:tmpl w:val="4E7010CF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5BFE9EC6"/>
    <w:multiLevelType w:val="singleLevel"/>
    <w:tmpl w:val="5BFE9EC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31AFB"/>
    <w:rsid w:val="34AA4CD2"/>
    <w:rsid w:val="71C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2020-11-16T00:15:00Z</dcterms:created>
  <dc:creator>Lenovo</dc:creator>
  <cp:lastModifiedBy>井宝</cp:lastModifiedBy>
  <dcterms:modified xsi:type="dcterms:W3CDTF">2020-11-16T01:33:53Z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