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4"/>
          <w:szCs w:val="24"/>
          <w:color w:val="595959"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520" w:lineRule="exact"/>
        <w:keepLines/>
        <w:snapToGrid w:val="0"/>
        <w:jc w:val="center"/>
      </w:pPr>
      <w:r>
        <w:rPr>
          <w:rFonts w:cs="Calibri"/>
          <w:sz w:val="44"/>
          <w:szCs w:val="44"/>
          <w:color w:val="000000"/>
          <w:b/>
          <w:bCs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https://hushuzuiniu.github.io/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Fudan University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PUBLICATIONS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  <w:bCs/>
        </w:rPr>
        <w:t xml:space="preserve">Under revision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174A73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Spirason N, Deng YM,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174A73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174A73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174A73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174A73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174A73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  <w:bCs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174A73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ageBreakBefore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Fudan University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PhD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The University of Hong Kong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Jun 2023 – Jun 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Research Assistant I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Shanghai Rightongene Technology Co., Ltd.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MSc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3"/>
          <w:szCs w:val="23"/>
          <w:color w:val="000000"/>
          <w:b/>
          <w:bCs/>
        </w:rPr>
        <w:t xml:space="preserve">Sichuan WoWente Biotechnology Co., Ltd.</w:t>
      </w:r>
      <w:r>
        <w:rPr>
          <w:rFonts w:cs="Calibri"/>
          <w:sz w:val="22"/>
          <w:szCs w:val="22"/>
          <w:color w:val="000000"/>
          <w:b/>
          <w:bCs/>
        </w:rPr>
        <w:tab/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1"/>
          <w:szCs w:val="21"/>
          <w:color w:val="595959"/>
          <w:i/>
        </w:rPr>
        <w:t xml:space="preserve">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TECHNICAL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  <w:bCs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bCs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6">
        <w:r>
          <w:rPr>
            <w:rFonts w:cs="Calibri"/>
            <w:sz w:val="22"/>
            <w:szCs w:val="22"/>
            <w:color w:val="174A73"/>
            <w:b/>
            <w:bCs/>
          </w:rPr>
          <w:t xml:space="preserve">github.com/hushuzuiniu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UniCAV · 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Relationship Id="rIdCV16" Type="http://schemas.openxmlformats.org/officeDocument/2006/relationships/hyperlink" Target="https://github.com/hushuzuin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