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2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8"/>
          <w:szCs w:val="22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 AND MANUSCRIPTS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</w:rPr>
        <w:t xml:space="preserve">Under revision · Co-first author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Spirason N, Deng YM,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 | PhD Research</w:t>
      </w:r>
      <w:r>
        <w:rPr>
          <w:rFonts w:cs="Calibri"/>
          <w:sz w:val="22"/>
          <w:szCs w:val="22"/>
          <w:color w:val="000000"/>
          <w:b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(co-first author; 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Hong Kong | Research Assistant I</w:t>
      </w:r>
      <w:r>
        <w:rPr>
          <w:rFonts w:cs="Calibri"/>
          <w:sz w:val="22"/>
          <w:szCs w:val="22"/>
          <w:color w:val="000000"/>
          <w:b/>
        </w:rPr>
        <w:tab/>
        <w:t xml:space="preserve">2023–2024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4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  <w:b/>
        </w:rPr>
        <w:t xml:space="preserve">Shanghai Rightongene Technology Co., Ltd. | 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 | MSc Research</w:t>
      </w:r>
      <w:r>
        <w:rPr>
          <w:rFonts w:cs="Calibri"/>
          <w:sz w:val="22"/>
          <w:szCs w:val="22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4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  <w:b/>
        </w:rPr>
        <w:t xml:space="preserve">Sichuan WoWente Biotechnology Co., Ltd. | 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AI AND COMPUTATIONAL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github.com/hushuzuiniu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