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Georgia" w:hAnsi="Georgia"/>
          <w:b/>
          <w:color w:val="B0842A"/>
          <w:sz w:val="22"/>
        </w:rPr>
        <w:t>MONT OLYMPE</w:t>
      </w:r>
    </w:p>
    <w:p>
      <w:pPr>
        <w:spacing w:after="100"/>
      </w:pPr>
      <w:r>
        <w:rPr>
          <w:rFonts w:ascii="Georgia" w:hAnsi="Georgia"/>
          <w:b/>
          <w:color w:val="1B2233"/>
          <w:sz w:val="56"/>
        </w:rPr>
        <w:t>The Vibe</w:t>
      </w:r>
    </w:p>
    <w:p>
      <w:pPr>
        <w:spacing w:after="280"/>
      </w:pPr>
      <w:r>
        <w:rPr>
          <w:rFonts w:ascii="Georgia" w:hAnsi="Georgia"/>
          <w:b/>
          <w:color w:val="6E2A2A"/>
          <w:sz w:val="30"/>
        </w:rPr>
        <w:t>Session 0 Recap</w:t>
      </w:r>
    </w:p>
    <w:p>
      <w:pPr>
        <w:spacing w:after="360"/>
      </w:pPr>
      <w:r>
        <w:rPr>
          <w:rFonts w:ascii="Calibri" w:hAnsi="Calibri"/>
          <w:i/>
          <w:color w:val="5B5E68"/>
          <w:sz w:val="22"/>
        </w:rPr>
        <w:t>Late-1990s Las Vegas: where dreams come true, crowds become movements, and the heirs of old gods build empires beneath the neon.</w:t>
      </w:r>
    </w:p>
    <w:p>
      <w:pPr>
        <w:spacing w:after="280"/>
        <w:pBdr>
          <w:bottom w:val="single" w:sz="14" w:space="1" w:color="B0842A"/>
        </w:pBdr>
      </w:pPr>
    </w:p>
    <w:p>
      <w:r>
        <w:rPr>
          <w:rFonts w:ascii="Calibri" w:hAnsi="Calibri"/>
          <w:sz w:val="21"/>
        </w:rPr>
        <w:t>This was a freeform character-and-setting session. We did not use rules yet; the table established who the first four heirs are, how their lives intersect, and the spectacular project now bringing the whole group together.</w:t>
      </w:r>
    </w:p>
    <w:p>
      <w:r>
        <w:rPr>
          <w:rFonts w:ascii="Calibri" w:hAnsi="Calibri"/>
          <w:sz w:val="21"/>
        </w:rPr>
        <w:t xml:space="preserve">Everything below is </w:t>
      </w:r>
      <w:r>
        <w:rPr>
          <w:rFonts w:ascii="Calibri" w:hAnsi="Calibri"/>
          <w:b/>
          <w:sz w:val="21"/>
        </w:rPr>
        <w:t>shared table knowledge</w:t>
      </w:r>
      <w:r>
        <w:rPr>
          <w:rFonts w:ascii="Calibri" w:hAnsi="Calibri"/>
          <w:sz w:val="21"/>
        </w:rPr>
        <w:t>. Personal motives and secrets that have not been revealed in play stay between the relevant player and the GM.</w:t>
      </w:r>
    </w:p>
    <w:p>
      <w:pPr>
        <w:pStyle w:val="Heading1"/>
      </w:pPr>
      <w:r>
        <w:t>The six heirs</w:t>
      </w:r>
    </w:p>
    <w:tbl>
      <w:tblPr>
        <w:tblStyle w:val="TableGrid"/>
        <w:tblW w:type="dxa" w:w="9360"/>
        <w:jc w:val="left"/>
        <w:tblLayout w:type="fixed"/>
        <w:tblLook w:firstColumn="1" w:firstRow="1" w:lastColumn="0" w:lastRow="0" w:noHBand="0" w:noVBand="1" w:val="04A0"/>
        <w:tblInd w:w="120" w:type="dxa"/>
      </w:tblPr>
      <w:tblGrid>
        <w:gridCol w:w="1512"/>
        <w:gridCol w:w="2088"/>
        <w:gridCol w:w="5760"/>
      </w:tblGrid>
      <w:tr>
        <w:trPr>
          <w:tblHeader w:val="true"/>
        </w:trPr>
        <w:tc>
          <w:tcPr>
            <w:tcW w:type="dxa" w:w="1512"/>
            <w:shd w:fill="1B2233"/>
            <w:vAlign w:val="center"/>
            <w:tcMar>
              <w:top w:w="65" w:type="dxa"/>
              <w:start w:w="105" w:type="dxa"/>
              <w:bottom w:w="65" w:type="dxa"/>
              <w:end w:w="105" w:type="dxa"/>
            </w:tcMar>
          </w:tcPr>
          <w:p>
            <w:pPr>
              <w:spacing w:after="0" w:line="240" w:lineRule="auto"/>
            </w:pPr>
            <w:r>
              <w:rPr>
                <w:rFonts w:ascii="Calibri" w:hAnsi="Calibri"/>
                <w:b/>
                <w:color w:val="FFFFFF"/>
                <w:sz w:val="17"/>
              </w:rPr>
              <w:t>Player</w:t>
            </w:r>
          </w:p>
        </w:tc>
        <w:tc>
          <w:tcPr>
            <w:tcW w:type="dxa" w:w="2088"/>
            <w:shd w:fill="1B2233"/>
            <w:vAlign w:val="center"/>
            <w:tcMar>
              <w:top w:w="65" w:type="dxa"/>
              <w:start w:w="105" w:type="dxa"/>
              <w:bottom w:w="65" w:type="dxa"/>
              <w:end w:w="105" w:type="dxa"/>
            </w:tcMar>
          </w:tcPr>
          <w:p>
            <w:pPr>
              <w:spacing w:after="0" w:line="240" w:lineRule="auto"/>
            </w:pPr>
            <w:r>
              <w:rPr>
                <w:rFonts w:ascii="Calibri" w:hAnsi="Calibri"/>
                <w:b/>
                <w:color w:val="FFFFFF"/>
                <w:sz w:val="17"/>
              </w:rPr>
              <w:t>Character</w:t>
            </w:r>
          </w:p>
        </w:tc>
        <w:tc>
          <w:tcPr>
            <w:tcW w:type="dxa" w:w="5760"/>
            <w:shd w:fill="1B2233"/>
            <w:vAlign w:val="center"/>
            <w:tcMar>
              <w:top w:w="65" w:type="dxa"/>
              <w:start w:w="105" w:type="dxa"/>
              <w:bottom w:w="65" w:type="dxa"/>
              <w:end w:w="105" w:type="dxa"/>
            </w:tcMar>
          </w:tcPr>
          <w:p>
            <w:pPr>
              <w:spacing w:after="0" w:line="240" w:lineRule="auto"/>
            </w:pPr>
            <w:r>
              <w:rPr>
                <w:rFonts w:ascii="Calibri" w:hAnsi="Calibri"/>
                <w:b/>
                <w:color w:val="FFFFFF"/>
                <w:sz w:val="17"/>
              </w:rPr>
              <w:t>What the group knows</w:t>
            </w:r>
          </w:p>
        </w:tc>
      </w:tr>
      <w:tr>
        <w:tc>
          <w:tcPr>
            <w:tcW w:type="dxa" w:w="1512"/>
            <w:vAlign w:val="center"/>
            <w:tcMar>
              <w:top w:w="65" w:type="dxa"/>
              <w:start w:w="105" w:type="dxa"/>
              <w:bottom w:w="65" w:type="dxa"/>
              <w:end w:w="105" w:type="dxa"/>
            </w:tcMar>
          </w:tcPr>
          <w:p>
            <w:pPr>
              <w:spacing w:after="0" w:line="252" w:lineRule="auto"/>
            </w:pPr>
            <w:r>
              <w:rPr>
                <w:rFonts w:ascii="Calibri" w:hAnsi="Calibri"/>
                <w:b/>
                <w:color w:val="1B2233"/>
                <w:sz w:val="17"/>
              </w:rPr>
              <w:t>Hagar</w:t>
            </w:r>
          </w:p>
        </w:tc>
        <w:tc>
          <w:tcPr>
            <w:tcW w:type="dxa" w:w="2088"/>
            <w:vAlign w:val="center"/>
            <w:tcMar>
              <w:top w:w="65" w:type="dxa"/>
              <w:start w:w="105" w:type="dxa"/>
              <w:bottom w:w="65" w:type="dxa"/>
              <w:end w:w="105" w:type="dxa"/>
            </w:tcMar>
          </w:tcPr>
          <w:p>
            <w:pPr>
              <w:spacing w:after="0" w:line="252" w:lineRule="auto"/>
            </w:pPr>
            <w:r>
              <w:rPr>
                <w:rFonts w:ascii="Calibri" w:hAnsi="Calibri"/>
                <w:b/>
                <w:color w:val="1B2233"/>
                <w:sz w:val="17"/>
              </w:rPr>
              <w:t>Carry, heir of Charon</w:t>
            </w:r>
          </w:p>
        </w:tc>
        <w:tc>
          <w:tcPr>
            <w:tcW w:type="dxa" w:w="5760"/>
            <w:vAlign w:val="center"/>
            <w:tcMar>
              <w:top w:w="65" w:type="dxa"/>
              <w:start w:w="105" w:type="dxa"/>
              <w:bottom w:w="65" w:type="dxa"/>
              <w:end w:w="105" w:type="dxa"/>
            </w:tcMar>
          </w:tcPr>
          <w:p>
            <w:pPr>
              <w:spacing w:after="0" w:line="252" w:lineRule="auto"/>
            </w:pPr>
            <w:r>
              <w:rPr>
                <w:rFonts w:ascii="Calibri" w:hAnsi="Calibri"/>
                <w:color w:val="1B2233"/>
                <w:sz w:val="17"/>
              </w:rPr>
              <w:t xml:space="preserve">A deceptively sweet grandmother who knits, offers cookies and runs a Vegas taxi company. She ferries ordinary passengers, the elderly, the nearly dead and the fully dead across the desert. People who refuse to tip may discover that limbo is a very real destination. She travels with </w:t>
            </w:r>
            <w:r>
              <w:rPr>
                <w:rFonts w:ascii="Calibri" w:hAnsi="Calibri"/>
                <w:b/>
                <w:color w:val="1B2233"/>
                <w:sz w:val="17"/>
              </w:rPr>
              <w:t>Kerby</w:t>
            </w:r>
            <w:r>
              <w:rPr>
                <w:rFonts w:ascii="Calibri" w:hAnsi="Calibri"/>
                <w:color w:val="1B2233"/>
                <w:sz w:val="17"/>
              </w:rPr>
              <w:t>, her small two-headed, fire-breathing corgi.</w:t>
            </w:r>
          </w:p>
        </w:tc>
      </w:tr>
      <w:tr>
        <w:tc>
          <w:tcPr>
            <w:tcW w:type="dxa" w:w="1512"/>
            <w:vAlign w:val="center"/>
            <w:shd w:fill="F7F5F0"/>
            <w:tcMar>
              <w:top w:w="65" w:type="dxa"/>
              <w:start w:w="105" w:type="dxa"/>
              <w:bottom w:w="65" w:type="dxa"/>
              <w:end w:w="105" w:type="dxa"/>
            </w:tcMar>
          </w:tcPr>
          <w:p>
            <w:pPr>
              <w:spacing w:after="0" w:line="252" w:lineRule="auto"/>
            </w:pPr>
            <w:r>
              <w:rPr>
                <w:rFonts w:ascii="Calibri" w:hAnsi="Calibri"/>
                <w:b/>
                <w:color w:val="1B2233"/>
                <w:sz w:val="17"/>
              </w:rPr>
              <w:t>Rima</w:t>
            </w:r>
          </w:p>
        </w:tc>
        <w:tc>
          <w:tcPr>
            <w:tcW w:type="dxa" w:w="2088"/>
            <w:vAlign w:val="center"/>
            <w:shd w:fill="F7F5F0"/>
            <w:tcMar>
              <w:top w:w="65" w:type="dxa"/>
              <w:start w:w="105" w:type="dxa"/>
              <w:bottom w:w="65" w:type="dxa"/>
              <w:end w:w="105" w:type="dxa"/>
            </w:tcMar>
          </w:tcPr>
          <w:p>
            <w:pPr>
              <w:spacing w:after="0" w:line="252" w:lineRule="auto"/>
            </w:pPr>
            <w:r>
              <w:rPr>
                <w:rFonts w:ascii="Calibri" w:hAnsi="Calibri"/>
                <w:b/>
                <w:color w:val="1B2233"/>
                <w:sz w:val="17"/>
              </w:rPr>
              <w:t>Fey Rosier, heir of Bragi and Loki</w:t>
            </w:r>
          </w:p>
        </w:tc>
        <w:tc>
          <w:tcPr>
            <w:tcW w:type="dxa" w:w="5760"/>
            <w:vAlign w:val="center"/>
            <w:shd w:fill="F7F5F0"/>
            <w:tcMar>
              <w:top w:w="65" w:type="dxa"/>
              <w:start w:w="105" w:type="dxa"/>
              <w:bottom w:w="65" w:type="dxa"/>
              <w:end w:w="105" w:type="dxa"/>
            </w:tcMar>
          </w:tcPr>
          <w:p>
            <w:pPr>
              <w:spacing w:after="0" w:line="252" w:lineRule="auto"/>
            </w:pPr>
            <w:r>
              <w:rPr>
                <w:rFonts w:ascii="Calibri" w:hAnsi="Calibri"/>
                <w:color w:val="1B2233"/>
                <w:sz w:val="17"/>
              </w:rPr>
              <w:t xml:space="preserve">Jack's half-sister and the head of </w:t>
            </w:r>
            <w:r>
              <w:rPr>
                <w:rFonts w:ascii="Calibri" w:hAnsi="Calibri"/>
                <w:b/>
                <w:color w:val="1B2233"/>
                <w:sz w:val="17"/>
              </w:rPr>
              <w:t>Skald Records</w:t>
            </w:r>
            <w:r>
              <w:rPr>
                <w:rFonts w:ascii="Calibri" w:hAnsi="Calibri"/>
                <w:color w:val="1B2233"/>
                <w:sz w:val="17"/>
              </w:rPr>
              <w:t>. Fey has shaped music for centuries through a multitude of artistic identities, each influential in its own circle. She is now organizing a vast rally and concert intended to become her greatest work.</w:t>
            </w:r>
          </w:p>
        </w:tc>
      </w:tr>
      <w:tr>
        <w:tc>
          <w:tcPr>
            <w:tcW w:type="dxa" w:w="1512"/>
            <w:vAlign w:val="center"/>
            <w:tcMar>
              <w:top w:w="65" w:type="dxa"/>
              <w:start w:w="105" w:type="dxa"/>
              <w:bottom w:w="65" w:type="dxa"/>
              <w:end w:w="105" w:type="dxa"/>
            </w:tcMar>
          </w:tcPr>
          <w:p>
            <w:pPr>
              <w:spacing w:after="0" w:line="252" w:lineRule="auto"/>
            </w:pPr>
            <w:r>
              <w:rPr>
                <w:rFonts w:ascii="Calibri" w:hAnsi="Calibri"/>
                <w:b/>
                <w:color w:val="1B2233"/>
                <w:sz w:val="17"/>
              </w:rPr>
              <w:t>Emmanuelle</w:t>
            </w:r>
          </w:p>
        </w:tc>
        <w:tc>
          <w:tcPr>
            <w:tcW w:type="dxa" w:w="2088"/>
            <w:vAlign w:val="center"/>
            <w:tcMar>
              <w:top w:w="65" w:type="dxa"/>
              <w:start w:w="105" w:type="dxa"/>
              <w:bottom w:w="65" w:type="dxa"/>
              <w:end w:w="105" w:type="dxa"/>
            </w:tcMar>
          </w:tcPr>
          <w:p>
            <w:pPr>
              <w:spacing w:after="0" w:line="252" w:lineRule="auto"/>
            </w:pPr>
            <w:r>
              <w:rPr>
                <w:rFonts w:ascii="Calibri" w:hAnsi="Calibri"/>
                <w:b/>
                <w:color w:val="1B2233"/>
                <w:sz w:val="17"/>
              </w:rPr>
              <w:t>Vos, heir of Hades</w:t>
            </w:r>
          </w:p>
        </w:tc>
        <w:tc>
          <w:tcPr>
            <w:tcW w:type="dxa" w:w="5760"/>
            <w:vAlign w:val="center"/>
            <w:tcMar>
              <w:top w:w="65" w:type="dxa"/>
              <w:start w:w="105" w:type="dxa"/>
              <w:bottom w:w="65" w:type="dxa"/>
              <w:end w:w="105" w:type="dxa"/>
            </w:tcMar>
          </w:tcPr>
          <w:p>
            <w:pPr>
              <w:spacing w:after="0" w:line="252" w:lineRule="auto"/>
            </w:pPr>
            <w:r>
              <w:rPr>
                <w:rFonts w:ascii="Calibri" w:hAnsi="Calibri"/>
                <w:color w:val="1B2233"/>
                <w:sz w:val="17"/>
              </w:rPr>
              <w:t xml:space="preserve">A cold, ambitious businessman who has invested Hades' fortune in a retirement-home empire and the modernization of Hell. He sells investors on </w:t>
            </w:r>
            <w:r>
              <w:rPr>
                <w:rFonts w:ascii="Calibri" w:hAnsi="Calibri"/>
                <w:b/>
                <w:color w:val="1B2233"/>
                <w:sz w:val="17"/>
              </w:rPr>
              <w:t>“Deathtime Value,”</w:t>
            </w:r>
            <w:r>
              <w:rPr>
                <w:rFonts w:ascii="Calibri" w:hAnsi="Calibri"/>
                <w:color w:val="1B2233"/>
                <w:sz w:val="17"/>
              </w:rPr>
              <w:t xml:space="preserve"> employs the dead and faces relentless pressure from BlackRock to deliver impossible growth. His secretary and bodyguard is </w:t>
            </w:r>
            <w:r>
              <w:rPr>
                <w:rFonts w:ascii="Calibri" w:hAnsi="Calibri"/>
                <w:b/>
                <w:color w:val="1B2233"/>
                <w:sz w:val="17"/>
              </w:rPr>
              <w:t>Pam</w:t>
            </w:r>
            <w:r>
              <w:rPr>
                <w:rFonts w:ascii="Calibri" w:hAnsi="Calibri"/>
                <w:color w:val="1B2233"/>
                <w:sz w:val="17"/>
              </w:rPr>
              <w:t>, a formidable Valkyrie.</w:t>
            </w:r>
          </w:p>
        </w:tc>
      </w:tr>
      <w:tr>
        <w:tc>
          <w:tcPr>
            <w:tcW w:type="dxa" w:w="1512"/>
            <w:vAlign w:val="center"/>
            <w:shd w:fill="F7F5F0"/>
            <w:tcMar>
              <w:top w:w="65" w:type="dxa"/>
              <w:start w:w="105" w:type="dxa"/>
              <w:bottom w:w="65" w:type="dxa"/>
              <w:end w:w="105" w:type="dxa"/>
            </w:tcMar>
          </w:tcPr>
          <w:p>
            <w:pPr>
              <w:spacing w:after="0" w:line="252" w:lineRule="auto"/>
            </w:pPr>
            <w:r>
              <w:rPr>
                <w:rFonts w:ascii="Calibri" w:hAnsi="Calibri"/>
                <w:b/>
                <w:color w:val="1B2233"/>
                <w:sz w:val="17"/>
              </w:rPr>
              <w:t>Arthur</w:t>
            </w:r>
          </w:p>
        </w:tc>
        <w:tc>
          <w:tcPr>
            <w:tcW w:type="dxa" w:w="2088"/>
            <w:vAlign w:val="center"/>
            <w:shd w:fill="F7F5F0"/>
            <w:tcMar>
              <w:top w:w="65" w:type="dxa"/>
              <w:start w:w="105" w:type="dxa"/>
              <w:bottom w:w="65" w:type="dxa"/>
              <w:end w:w="105" w:type="dxa"/>
            </w:tcMar>
          </w:tcPr>
          <w:p>
            <w:pPr>
              <w:spacing w:after="0" w:line="252" w:lineRule="auto"/>
            </w:pPr>
            <w:r>
              <w:rPr>
                <w:rFonts w:ascii="Calibri" w:hAnsi="Calibri"/>
                <w:b/>
                <w:color w:val="1B2233"/>
                <w:sz w:val="17"/>
              </w:rPr>
              <w:t>Jack Maddox, heir of Bragi and Zeus</w:t>
            </w:r>
          </w:p>
        </w:tc>
        <w:tc>
          <w:tcPr>
            <w:tcW w:type="dxa" w:w="5760"/>
            <w:vAlign w:val="center"/>
            <w:shd w:fill="F7F5F0"/>
            <w:tcMar>
              <w:top w:w="65" w:type="dxa"/>
              <w:start w:w="105" w:type="dxa"/>
              <w:bottom w:w="65" w:type="dxa"/>
              <w:end w:w="105" w:type="dxa"/>
            </w:tcMar>
          </w:tcPr>
          <w:p>
            <w:pPr>
              <w:spacing w:after="0" w:line="252" w:lineRule="auto"/>
            </w:pPr>
            <w:r>
              <w:rPr>
                <w:rFonts w:ascii="Calibri" w:hAnsi="Calibri"/>
                <w:color w:val="1B2233"/>
                <w:sz w:val="17"/>
              </w:rPr>
              <w:t>The embodiment of stardom: a once-untouchable rock icon whose career is now in decline. He carries Bragi's harp, reforged as an electric guitar whose signature riff seems to follow him everywhere. His fanbase is aging, and an MTV reality crew is documenting his attempted comeback.</w:t>
            </w:r>
          </w:p>
        </w:tc>
      </w:tr>
      <w:tr>
        <w:tc>
          <w:tcPr>
            <w:tcW w:type="dxa" w:w="1512"/>
            <w:vAlign w:val="center"/>
            <w:tcMar>
              <w:top w:w="65" w:type="dxa"/>
              <w:start w:w="105" w:type="dxa"/>
              <w:bottom w:w="65" w:type="dxa"/>
              <w:end w:w="105" w:type="dxa"/>
            </w:tcMar>
          </w:tcPr>
          <w:p>
            <w:pPr>
              <w:spacing w:after="0" w:line="252" w:lineRule="auto"/>
            </w:pPr>
            <w:r>
              <w:rPr>
                <w:rFonts w:ascii="Calibri" w:hAnsi="Calibri"/>
                <w:b/>
                <w:color w:val="1B2233"/>
                <w:sz w:val="17"/>
              </w:rPr>
              <w:t>Timothée</w:t>
            </w:r>
          </w:p>
        </w:tc>
        <w:tc>
          <w:tcPr>
            <w:tcW w:type="dxa" w:w="2088"/>
            <w:vAlign w:val="center"/>
            <w:tcMar>
              <w:top w:w="65" w:type="dxa"/>
              <w:start w:w="105" w:type="dxa"/>
              <w:bottom w:w="65" w:type="dxa"/>
              <w:end w:w="105" w:type="dxa"/>
            </w:tcMar>
          </w:tcPr>
          <w:p>
            <w:pPr>
              <w:spacing w:after="0" w:line="252" w:lineRule="auto"/>
            </w:pPr>
            <w:r>
              <w:rPr>
                <w:rFonts w:ascii="Calibri" w:hAnsi="Calibri"/>
                <w:b/>
                <w:color w:val="1B2233"/>
                <w:sz w:val="17"/>
              </w:rPr>
              <w:t>Odin's heir</w:t>
            </w:r>
          </w:p>
        </w:tc>
        <w:tc>
          <w:tcPr>
            <w:tcW w:type="dxa" w:w="5760"/>
            <w:vAlign w:val="center"/>
            <w:tcMar>
              <w:top w:w="65" w:type="dxa"/>
              <w:start w:w="105" w:type="dxa"/>
              <w:bottom w:w="65" w:type="dxa"/>
              <w:end w:w="105" w:type="dxa"/>
            </w:tcMar>
          </w:tcPr>
          <w:p>
            <w:pPr>
              <w:spacing w:after="0" w:line="252" w:lineRule="auto"/>
            </w:pPr>
            <w:r>
              <w:rPr>
                <w:rFonts w:ascii="Calibri" w:hAnsi="Calibri"/>
                <w:color w:val="1B2233"/>
                <w:sz w:val="17"/>
              </w:rPr>
              <w:t>The CEO of a mercenary corporation. He deploys Valkyries not only as warriors, but also as agents who gather knowledge, secrets and power.</w:t>
            </w:r>
          </w:p>
        </w:tc>
      </w:tr>
      <w:tr>
        <w:tc>
          <w:tcPr>
            <w:tcW w:type="dxa" w:w="1512"/>
            <w:vAlign w:val="center"/>
            <w:shd w:fill="F7F5F0"/>
            <w:tcMar>
              <w:top w:w="65" w:type="dxa"/>
              <w:start w:w="105" w:type="dxa"/>
              <w:bottom w:w="65" w:type="dxa"/>
              <w:end w:w="105" w:type="dxa"/>
            </w:tcMar>
          </w:tcPr>
          <w:p>
            <w:pPr>
              <w:spacing w:after="0" w:line="252" w:lineRule="auto"/>
            </w:pPr>
            <w:r>
              <w:rPr>
                <w:rFonts w:ascii="Calibri" w:hAnsi="Calibri"/>
                <w:b/>
                <w:color w:val="1B2233"/>
                <w:sz w:val="17"/>
              </w:rPr>
              <w:t>Bruno</w:t>
            </w:r>
          </w:p>
        </w:tc>
        <w:tc>
          <w:tcPr>
            <w:tcW w:type="dxa" w:w="2088"/>
            <w:vAlign w:val="center"/>
            <w:shd w:fill="F7F5F0"/>
            <w:tcMar>
              <w:top w:w="65" w:type="dxa"/>
              <w:start w:w="105" w:type="dxa"/>
              <w:bottom w:w="65" w:type="dxa"/>
              <w:end w:w="105" w:type="dxa"/>
            </w:tcMar>
          </w:tcPr>
          <w:p>
            <w:pPr>
              <w:spacing w:after="0" w:line="252" w:lineRule="auto"/>
            </w:pPr>
            <w:r>
              <w:rPr>
                <w:rFonts w:ascii="Calibri" w:hAnsi="Calibri"/>
                <w:b/>
                <w:color w:val="1B2233"/>
                <w:sz w:val="17"/>
              </w:rPr>
              <w:t>Loki's heir</w:t>
            </w:r>
          </w:p>
        </w:tc>
        <w:tc>
          <w:tcPr>
            <w:tcW w:type="dxa" w:w="5760"/>
            <w:vAlign w:val="center"/>
            <w:shd w:fill="F7F5F0"/>
            <w:tcMar>
              <w:top w:w="65" w:type="dxa"/>
              <w:start w:w="105" w:type="dxa"/>
              <w:bottom w:w="65" w:type="dxa"/>
              <w:end w:w="105" w:type="dxa"/>
            </w:tcMar>
          </w:tcPr>
          <w:p>
            <w:pPr>
              <w:spacing w:after="0" w:line="252" w:lineRule="auto"/>
            </w:pPr>
            <w:r>
              <w:rPr>
                <w:rFonts w:ascii="Calibri" w:hAnsi="Calibri"/>
                <w:color w:val="1B2233"/>
                <w:sz w:val="17"/>
              </w:rPr>
              <w:t>A bringer of chaos who creates and spreads conspiracy theories, turning suspicion, confusion and wild stories into influence.</w:t>
            </w:r>
          </w:p>
        </w:tc>
      </w:tr>
    </w:tbl>
    <w:p>
      <w:pPr>
        <w:spacing w:after="40"/>
      </w:pPr>
    </w:p>
    <w:p>
      <w:r>
        <w:rPr>
          <w:rFonts w:ascii="Calibri" w:hAnsi="Calibri"/>
          <w:sz w:val="21"/>
        </w:rPr>
        <w:t>Timothée and Bruno were absent from this session. Their heirs will enter the action when play resumes.</w:t>
      </w:r>
    </w:p>
    <w:p>
      <w:pPr>
        <w:pStyle w:val="Heading1"/>
      </w:pPr>
      <w:r>
        <w:t>What happened</w:t>
      </w:r>
    </w:p>
    <w:p>
      <w:pPr>
        <w:pStyle w:val="Heading2"/>
      </w:pPr>
      <w:r>
        <w:t>A rally worthy of Las Vegas</w:t>
      </w:r>
    </w:p>
    <w:p>
      <w:r>
        <w:rPr>
          <w:rFonts w:ascii="Calibri" w:hAnsi="Calibri"/>
          <w:sz w:val="21"/>
        </w:rPr>
        <w:t xml:space="preserve">A powerful demagogue is preparing a rally in Las Vegas and wants it to be </w:t>
      </w:r>
      <w:r>
        <w:rPr>
          <w:rFonts w:ascii="Calibri" w:hAnsi="Calibri"/>
          <w:b/>
          <w:sz w:val="21"/>
        </w:rPr>
        <w:t>the greatest gathering ever staged</w:t>
      </w:r>
      <w:r>
        <w:rPr>
          <w:rFonts w:ascii="Calibri" w:hAnsi="Calibri"/>
          <w:sz w:val="21"/>
        </w:rPr>
        <w:t>. Fey has been put in charge of the musical spectacle. Her ambition is to turn it into her magnum opus: an unprecedented pop event built around the first K-pop-style idol phenomenon.</w:t>
      </w:r>
    </w:p>
    <w:p>
      <w:r>
        <w:rPr>
          <w:rFonts w:ascii="Calibri" w:hAnsi="Calibri"/>
          <w:sz w:val="21"/>
        </w:rPr>
        <w:t>The challenge is simple to describe and difficult to solve: fill the venue, create a sensation and give Vegas a night it will never forget.</w:t>
      </w:r>
    </w:p>
    <w:p>
      <w:pPr>
        <w:pStyle w:val="Heading2"/>
      </w:pPr>
      <w:r>
        <w:t>Fey recruits Carry</w:t>
      </w:r>
    </w:p>
    <w:p>
      <w:r>
        <w:rPr>
          <w:rFonts w:ascii="Calibri" w:hAnsi="Calibri"/>
          <w:sz w:val="21"/>
        </w:rPr>
        <w:t>Fey met Carry while looking for a way to bring in a truly extraordinary audience. Carry explained that her transport network could help get the “numbers” up. In her line of work, that word can include the elderly, the recently deceased and passengers moving in either direction across the border of death.</w:t>
      </w:r>
    </w:p>
    <w:p>
      <w:r>
        <w:rPr>
          <w:rFonts w:ascii="Calibri" w:hAnsi="Calibri"/>
          <w:sz w:val="21"/>
        </w:rPr>
        <w:t>They also realized that Jack is still a major name among older audiences. Fey decided to invite him as the concert's opening act—an opportunity for the event and, perhaps, for Jack's comeback.</w:t>
      </w:r>
    </w:p>
    <w:p>
      <w:pPr>
        <w:pStyle w:val="Heading2"/>
      </w:pPr>
      <w:r>
        <w:t>The meeting in Hell</w:t>
      </w:r>
    </w:p>
    <w:p>
      <w:r>
        <w:rPr>
          <w:rFonts w:ascii="Calibri" w:hAnsi="Calibri"/>
          <w:sz w:val="21"/>
        </w:rPr>
        <w:t>The group took its proposal to Vos. From Hell, surrounded by an expanding enterprise built on death and aggressive growth targets, he immediately understood the business opportunity.</w:t>
      </w:r>
    </w:p>
    <w:p>
      <w:r>
        <w:rPr>
          <w:rFonts w:ascii="Calibri" w:hAnsi="Calibri"/>
          <w:sz w:val="21"/>
        </w:rPr>
        <w:t>A deal was struck:</w:t>
      </w:r>
    </w:p>
    <w:p>
      <w:pPr>
        <w:spacing w:after="80" w:line="283" w:lineRule="auto"/>
        <w:ind w:left="547" w:hanging="274"/>
      </w:pPr>
      <w:r>
        <w:rPr>
          <w:rFonts w:ascii="Calibri" w:hAnsi="Calibri"/>
          <w:color w:val="1B2233"/>
          <w:sz w:val="21"/>
        </w:rPr>
        <w:t xml:space="preserve">• </w:t>
      </w:r>
      <w:r>
        <w:rPr>
          <w:rFonts w:ascii="Calibri" w:hAnsi="Calibri"/>
          <w:sz w:val="21"/>
        </w:rPr>
        <w:t>Vos will supply the audience at scale through his retirement homes and underworld operations.</w:t>
      </w:r>
    </w:p>
    <w:p>
      <w:pPr>
        <w:spacing w:after="80" w:line="283" w:lineRule="auto"/>
        <w:ind w:left="547" w:hanging="274"/>
      </w:pPr>
      <w:r>
        <w:rPr>
          <w:rFonts w:ascii="Calibri" w:hAnsi="Calibri"/>
          <w:color w:val="1B2233"/>
          <w:sz w:val="21"/>
        </w:rPr>
        <w:t xml:space="preserve">• </w:t>
      </w:r>
      <w:r>
        <w:rPr>
          <w:rFonts w:ascii="Calibri" w:hAnsi="Calibri"/>
          <w:sz w:val="21"/>
        </w:rPr>
        <w:t>Carry will help transport them.</w:t>
      </w:r>
    </w:p>
    <w:p>
      <w:pPr>
        <w:spacing w:after="80" w:line="283" w:lineRule="auto"/>
        <w:ind w:left="547" w:hanging="274"/>
      </w:pPr>
      <w:r>
        <w:rPr>
          <w:rFonts w:ascii="Calibri" w:hAnsi="Calibri"/>
          <w:color w:val="1B2233"/>
          <w:sz w:val="21"/>
        </w:rPr>
        <w:t xml:space="preserve">• </w:t>
      </w:r>
      <w:r>
        <w:rPr>
          <w:rFonts w:ascii="Calibri" w:hAnsi="Calibri"/>
          <w:sz w:val="21"/>
        </w:rPr>
        <w:t xml:space="preserve">In return, once the event is over, </w:t>
      </w:r>
      <w:r>
        <w:rPr>
          <w:rFonts w:ascii="Calibri" w:hAnsi="Calibri"/>
          <w:b/>
          <w:sz w:val="21"/>
        </w:rPr>
        <w:t>Vos receives ten percent of the living for Hell.</w:t>
      </w:r>
    </w:p>
    <w:p>
      <w:r>
        <w:rPr>
          <w:rFonts w:ascii="Calibri" w:hAnsi="Calibri"/>
          <w:sz w:val="21"/>
        </w:rPr>
        <w:t>The exact meaning—and eventual execution—of that last clause remains to be seen.</w:t>
      </w:r>
    </w:p>
    <w:p>
      <w:r>
        <w:rPr>
          <w:rFonts w:ascii="Calibri" w:hAnsi="Calibri"/>
          <w:sz w:val="21"/>
        </w:rPr>
        <w:t>While the negotiations continued, Jack performed for the shades of Hell. Even the dead got a preview of the comeback.</w:t>
      </w:r>
    </w:p>
    <w:p>
      <w:pPr>
        <w:pStyle w:val="Heading2"/>
      </w:pPr>
      <w:r>
        <w:t>The retirement-home charity concert</w:t>
      </w:r>
    </w:p>
    <w:p>
      <w:r>
        <w:rPr>
          <w:rFonts w:ascii="Calibri" w:hAnsi="Calibri"/>
          <w:sz w:val="21"/>
        </w:rPr>
        <w:t>A smaller charity concert offered a first test of what this combination could do.</w:t>
      </w:r>
    </w:p>
    <w:p>
      <w:r>
        <w:rPr>
          <w:rFonts w:ascii="Calibri" w:hAnsi="Calibri"/>
          <w:sz w:val="21"/>
        </w:rPr>
        <w:t>When Jack played, the elderly audience seemed to become young again. The room erupted into ecstatic chaos: pensioners pogoed, scarves flew, and at least one arm was lost in the excitement. Outside, a supernatural storm gathered and lightning flashed overhead. Pam responded in characteristic fashion—by going berserk with a battle-axe.</w:t>
      </w:r>
    </w:p>
    <w:p>
      <w:r>
        <w:rPr>
          <w:rFonts w:ascii="Calibri" w:hAnsi="Calibri"/>
          <w:sz w:val="21"/>
        </w:rPr>
        <w:t>It was exhilarating, absurd and dangerous. More importantly, it proved that the heirs can create something no ordinary promoter, artist or corporation could control.</w:t>
      </w:r>
    </w:p>
    <w:p>
      <w:pPr>
        <w:pStyle w:val="Heading1"/>
      </w:pPr>
      <w:r>
        <w:t>Where we left things</w:t>
      </w:r>
    </w:p>
    <w:p>
      <w:r>
        <w:rPr>
          <w:rFonts w:ascii="Calibri" w:hAnsi="Calibri"/>
          <w:sz w:val="21"/>
        </w:rPr>
        <w:t>The great Vegas rally-concert still needs to be planned. The four heirs present have already assembled its first pieces:</w:t>
      </w:r>
    </w:p>
    <w:p>
      <w:pPr>
        <w:spacing w:after="80" w:line="283" w:lineRule="auto"/>
        <w:ind w:left="547" w:hanging="274"/>
      </w:pPr>
      <w:r>
        <w:rPr>
          <w:rFonts w:ascii="Calibri" w:hAnsi="Calibri"/>
          <w:color w:val="1B2233"/>
          <w:sz w:val="21"/>
        </w:rPr>
        <w:t xml:space="preserve">• </w:t>
      </w:r>
      <w:r>
        <w:rPr>
          <w:rFonts w:ascii="Calibri" w:hAnsi="Calibri"/>
          <w:sz w:val="21"/>
        </w:rPr>
        <w:t>Fey has the vision, the industry and the event.</w:t>
      </w:r>
    </w:p>
    <w:p>
      <w:pPr>
        <w:spacing w:after="80" w:line="283" w:lineRule="auto"/>
        <w:ind w:left="547" w:hanging="274"/>
      </w:pPr>
      <w:r>
        <w:rPr>
          <w:rFonts w:ascii="Calibri" w:hAnsi="Calibri"/>
          <w:color w:val="1B2233"/>
          <w:sz w:val="21"/>
        </w:rPr>
        <w:t xml:space="preserve">• </w:t>
      </w:r>
      <w:r>
        <w:rPr>
          <w:rFonts w:ascii="Calibri" w:hAnsi="Calibri"/>
          <w:sz w:val="21"/>
        </w:rPr>
        <w:t>Jack has the name, the music and the star power.</w:t>
      </w:r>
    </w:p>
    <w:p>
      <w:pPr>
        <w:spacing w:after="80" w:line="283" w:lineRule="auto"/>
        <w:ind w:left="547" w:hanging="274"/>
      </w:pPr>
      <w:r>
        <w:rPr>
          <w:rFonts w:ascii="Calibri" w:hAnsi="Calibri"/>
          <w:color w:val="1B2233"/>
          <w:sz w:val="21"/>
        </w:rPr>
        <w:t xml:space="preserve">• </w:t>
      </w:r>
      <w:r>
        <w:rPr>
          <w:rFonts w:ascii="Calibri" w:hAnsi="Calibri"/>
          <w:sz w:val="21"/>
        </w:rPr>
        <w:t>Vos can provide an audience on an impossible scale.</w:t>
      </w:r>
    </w:p>
    <w:p>
      <w:pPr>
        <w:spacing w:after="80" w:line="283" w:lineRule="auto"/>
        <w:ind w:left="547" w:hanging="274"/>
      </w:pPr>
      <w:r>
        <w:rPr>
          <w:rFonts w:ascii="Calibri" w:hAnsi="Calibri"/>
          <w:color w:val="1B2233"/>
          <w:sz w:val="21"/>
        </w:rPr>
        <w:t xml:space="preserve">• </w:t>
      </w:r>
      <w:r>
        <w:rPr>
          <w:rFonts w:ascii="Calibri" w:hAnsi="Calibri"/>
          <w:sz w:val="21"/>
        </w:rPr>
        <w:t>Carry can bring that audience to Vegas—even from places no bus company serves.</w:t>
      </w:r>
    </w:p>
    <w:p>
      <w:r>
        <w:rPr>
          <w:rFonts w:ascii="Calibri" w:hAnsi="Calibri"/>
          <w:sz w:val="21"/>
        </w:rPr>
        <w:t>Odin's heir brings a global mercenary network, Valkyries and intelligence-gathering power. Loki's heir brings chaos, conspiracies and the ability to make people believe the unbelievable. How they become involved is the next question for the full table.</w:t>
      </w:r>
    </w:p>
    <w:p>
      <w:r>
        <w:rPr>
          <w:rFonts w:ascii="Calibri" w:hAnsi="Calibri"/>
          <w:sz w:val="21"/>
        </w:rPr>
        <w:t>The immediate objective is clear: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3EFE5"/>
            <w:tcMar>
              <w:top w:w="90" w:type="dxa"/>
              <w:start w:w="120" w:type="dxa"/>
              <w:bottom w:w="90" w:type="dxa"/>
              <w:end w:w="120" w:type="dxa"/>
            </w:tcMar>
          </w:tcPr>
          <w:p>
            <w:pPr>
              <w:spacing w:after="0"/>
            </w:pPr>
            <w:r>
              <w:rPr>
                <w:rFonts w:ascii="Calibri" w:hAnsi="Calibri"/>
                <w:b/>
                <w:color w:val="6E2A2A"/>
                <w:sz w:val="22"/>
              </w:rPr>
              <w:t>Plan and stage the most spectacular rally-concert Las Vegas has ever seen.</w:t>
            </w:r>
          </w:p>
        </w:tc>
      </w:tr>
    </w:tbl>
    <w:p>
      <w:pPr>
        <w:spacing w:after="40"/>
      </w:pPr>
    </w:p>
    <w:p>
      <w:pPr>
        <w:pStyle w:val="Heading1"/>
      </w:pPr>
      <w:r>
        <w:t>Public canon and character secrets</w:t>
      </w:r>
    </w:p>
    <w:p>
      <w:r>
        <w:rPr>
          <w:rFonts w:ascii="Calibri" w:hAnsi="Calibri"/>
          <w:sz w:val="21"/>
        </w:rPr>
        <w:t xml:space="preserve">This recap is the group's </w:t>
      </w:r>
      <w:r>
        <w:rPr>
          <w:rFonts w:ascii="Calibri" w:hAnsi="Calibri"/>
          <w:b/>
          <w:sz w:val="21"/>
        </w:rPr>
        <w:t>public canon</w:t>
      </w:r>
      <w:r>
        <w:rPr>
          <w:rFonts w:ascii="Calibri" w:hAnsi="Calibri"/>
          <w:sz w:val="21"/>
        </w:rPr>
        <w:t>: it can be read by every player before character creation.</w:t>
      </w:r>
    </w:p>
    <w:p>
      <w:r>
        <w:rPr>
          <w:rFonts w:ascii="Calibri" w:hAnsi="Calibri"/>
          <w:sz w:val="21"/>
        </w:rPr>
        <w:t>Each player may also have private ambitions, resentments, relationships or plans that are not included here. A detail becomes shared canon only when its character reveals it or it becomes visible during play. Players should therefore build from the public relationships above without assuming they know another heir's hidden motives.</w:t>
      </w:r>
    </w:p>
    <w:sectPr w:rsidR="00FC693F" w:rsidRPr="0006063C" w:rsidSect="00034616">
      <w:headerReference w:type="default" r:id="rId9"/>
      <w:footerReference w:type="default" r:id="rId10"/>
      <w:pgSz w:w="12240" w:h="15840"/>
      <w:pgMar w:top="1224" w:right="1440" w:bottom="1224"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1296"/>
    </w:tblGrid>
    <w:tr>
      <w:tc>
        <w:tcPr>
          <w:tcW w:type="dxa" w:w="4680"/>
        </w:tcPr>
        <w:p>
          <w:pPr>
            <w:spacing w:after="0"/>
          </w:pPr>
          <w:r>
            <w:rPr>
              <w:rFonts w:ascii="Calibri" w:hAnsi="Calibri"/>
              <w:b/>
              <w:color w:val="5B5E68"/>
              <w:sz w:val="16"/>
            </w:rPr>
            <w:t>SESSION 0 · THE VIBE  ·  PLAYER MATERIAL</w:t>
          </w:r>
        </w:p>
      </w:tc>
      <w:tc>
        <w:tcPr>
          <w:tcW w:type="dxa" w:w="4680"/>
        </w:tcPr>
        <w:p>
          <w:pPr>
            <w:spacing w:after="0"/>
            <w:jc w:val="right"/>
          </w:pPr>
          <w:r>
            <w:fldChar w:fldCharType="begin"/>
          </w:r>
          <w:r>
            <w:instrText xml:space="preserve"> PAGE </w:instrText>
          </w:r>
          <w:r>
            <w:fldChar w:fldCharType="separate"/>
          </w:r>
          <w:r>
            <w:rPr>
              <w:rFonts w:ascii="Calibri" w:hAnsi="Calibri"/>
              <w:b/>
              <w:color w:val="5B5E68"/>
              <w:sz w:val="16"/>
            </w:rP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5E68"/>
        <w:sz w:val="17"/>
      </w:rPr>
      <w:t>MONT OLYMPE  ·  LAS VEGAS, 1999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B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6E2A2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1B223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Georgia" w:hAnsi="Georgia"/>
      <w:b/>
      <w:bCs/>
      <w:color w:val="6E2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Vibe</dc:title>
  <dc:subject>Mont Olympe player material</dc:subject>
  <dc:creator>Mont Olympe</dc:creator>
  <cp:keywords>roleplaying, Las Vegas, divine heirs</cp:keywords>
  <dc:description>generated by python-docx</dc:description>
  <cp:lastModifiedBy/>
  <cp:revision>1</cp:revision>
  <dcterms:created xsi:type="dcterms:W3CDTF">2013-12-23T23:15:00Z</dcterms:created>
  <dcterms:modified xsi:type="dcterms:W3CDTF">2013-12-23T23:15:00Z</dcterms:modified>
  <cp:category/>
</cp:coreProperties>
</file>